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214" w:rsidRDefault="000D5214" w:rsidP="000D5214">
      <w:pPr>
        <w:pStyle w:val="Default"/>
        <w:jc w:val="both"/>
        <w:rPr>
          <w:color w:val="000000" w:themeColor="text1"/>
        </w:rPr>
      </w:pPr>
      <w:r w:rsidRPr="00B23534">
        <w:rPr>
          <w:color w:val="000000" w:themeColor="text1"/>
        </w:rPr>
        <w:t>Na temelju članka 23. Pravilnika o kriterijima, mjerilima i postupcima financiranja i ugovaranja programa i projekata od interesa za opće dobro koje provode udruge („Službene novine“ broj 34/15, 18/21, 42/23) Župan Primorsko-goranske</w:t>
      </w:r>
      <w:r>
        <w:rPr>
          <w:color w:val="000000" w:themeColor="text1"/>
        </w:rPr>
        <w:t xml:space="preserve"> </w:t>
      </w:r>
      <w:r w:rsidRPr="00874DF2">
        <w:rPr>
          <w:color w:val="auto"/>
        </w:rPr>
        <w:t xml:space="preserve">županije, </w:t>
      </w:r>
      <w:r w:rsidRPr="00B23534">
        <w:rPr>
          <w:color w:val="000000" w:themeColor="text1"/>
        </w:rPr>
        <w:t>objavljuje sljedeći</w:t>
      </w:r>
    </w:p>
    <w:p w:rsidR="000D5214" w:rsidRPr="00B23534" w:rsidRDefault="000D5214" w:rsidP="000D5214">
      <w:pPr>
        <w:pStyle w:val="Default"/>
        <w:jc w:val="both"/>
        <w:rPr>
          <w:color w:val="000000" w:themeColor="text1"/>
        </w:rPr>
      </w:pPr>
    </w:p>
    <w:p w:rsidR="000D5214" w:rsidRPr="00B23534" w:rsidRDefault="000D5214" w:rsidP="000D5214">
      <w:pPr>
        <w:pStyle w:val="Default"/>
        <w:jc w:val="center"/>
        <w:rPr>
          <w:b/>
          <w:color w:val="000000" w:themeColor="text1"/>
          <w:sz w:val="28"/>
          <w:szCs w:val="28"/>
        </w:rPr>
      </w:pPr>
      <w:r w:rsidRPr="00B23534">
        <w:rPr>
          <w:b/>
          <w:color w:val="000000" w:themeColor="text1"/>
          <w:sz w:val="28"/>
          <w:szCs w:val="28"/>
        </w:rPr>
        <w:t>J A V N I   P O Z I V</w:t>
      </w:r>
    </w:p>
    <w:p w:rsidR="000D5214" w:rsidRPr="00B23534" w:rsidRDefault="000D5214" w:rsidP="000D5214">
      <w:pPr>
        <w:pStyle w:val="Default"/>
        <w:jc w:val="center"/>
        <w:rPr>
          <w:b/>
          <w:color w:val="000000" w:themeColor="text1"/>
          <w:sz w:val="28"/>
          <w:szCs w:val="28"/>
        </w:rPr>
      </w:pPr>
      <w:bookmarkStart w:id="0" w:name="_Hlk189409904"/>
      <w:r w:rsidRPr="00B23534">
        <w:rPr>
          <w:b/>
          <w:color w:val="000000" w:themeColor="text1"/>
          <w:sz w:val="28"/>
          <w:szCs w:val="28"/>
        </w:rPr>
        <w:t xml:space="preserve">ZA DODJELU SREDSTAVA PUTEM SUFINANCIRANJA MANIFESTACIJA I PROGRAMA POPULARNOG I ZABAVNOG KARAKTERA KOJE SE PROVODE </w:t>
      </w:r>
      <w:r w:rsidRPr="00B23534">
        <w:rPr>
          <w:b/>
          <w:color w:val="000000" w:themeColor="text1"/>
          <w:sz w:val="28"/>
          <w:szCs w:val="28"/>
        </w:rPr>
        <w:br/>
        <w:t xml:space="preserve">OD 1. </w:t>
      </w:r>
      <w:r w:rsidR="00D33729">
        <w:rPr>
          <w:b/>
          <w:color w:val="000000" w:themeColor="text1"/>
          <w:sz w:val="28"/>
          <w:szCs w:val="28"/>
        </w:rPr>
        <w:t>SRPNJA</w:t>
      </w:r>
      <w:r w:rsidRPr="00B23534">
        <w:rPr>
          <w:b/>
          <w:color w:val="000000" w:themeColor="text1"/>
          <w:sz w:val="28"/>
          <w:szCs w:val="28"/>
        </w:rPr>
        <w:t xml:space="preserve"> DO 3</w:t>
      </w:r>
      <w:r w:rsidR="00D33729">
        <w:rPr>
          <w:b/>
          <w:color w:val="000000" w:themeColor="text1"/>
          <w:sz w:val="28"/>
          <w:szCs w:val="28"/>
        </w:rPr>
        <w:t>1</w:t>
      </w:r>
      <w:r w:rsidRPr="00B23534">
        <w:rPr>
          <w:b/>
          <w:color w:val="000000" w:themeColor="text1"/>
          <w:sz w:val="28"/>
          <w:szCs w:val="28"/>
        </w:rPr>
        <w:t xml:space="preserve">. </w:t>
      </w:r>
      <w:r w:rsidR="00D33729">
        <w:rPr>
          <w:b/>
          <w:color w:val="000000" w:themeColor="text1"/>
          <w:sz w:val="28"/>
          <w:szCs w:val="28"/>
        </w:rPr>
        <w:t>PROSINCA</w:t>
      </w:r>
      <w:r w:rsidRPr="00B23534">
        <w:rPr>
          <w:b/>
          <w:color w:val="000000" w:themeColor="text1"/>
          <w:sz w:val="28"/>
          <w:szCs w:val="28"/>
        </w:rPr>
        <w:t xml:space="preserve"> 2025. GODINE</w:t>
      </w:r>
    </w:p>
    <w:bookmarkEnd w:id="0"/>
    <w:p w:rsidR="000D5214" w:rsidRPr="00B23534" w:rsidRDefault="000D5214" w:rsidP="000D5214">
      <w:pPr>
        <w:pStyle w:val="Default"/>
        <w:jc w:val="both"/>
        <w:rPr>
          <w:color w:val="000000" w:themeColor="text1"/>
        </w:rPr>
      </w:pP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bookmarkStart w:id="1" w:name="_Hlk189398230"/>
            <w:r w:rsidRPr="00B23534">
              <w:rPr>
                <w:rFonts w:ascii="Arial" w:hAnsi="Arial" w:cs="Arial"/>
                <w:color w:val="000000" w:themeColor="text1"/>
                <w:sz w:val="24"/>
                <w:szCs w:val="24"/>
              </w:rPr>
              <w:t>I</w:t>
            </w:r>
          </w:p>
        </w:tc>
      </w:tr>
    </w:tbl>
    <w:bookmarkEnd w:id="1"/>
    <w:p w:rsidR="000D5214" w:rsidRPr="00B23534" w:rsidRDefault="000D5214" w:rsidP="000D5214">
      <w:pPr>
        <w:spacing w:after="120" w:line="240" w:lineRule="auto"/>
        <w:ind w:firstLine="708"/>
        <w:jc w:val="both"/>
        <w:outlineLvl w:val="0"/>
        <w:rPr>
          <w:rFonts w:ascii="Arial" w:hAnsi="Arial" w:cs="Arial"/>
          <w:color w:val="000000" w:themeColor="text1"/>
          <w:sz w:val="24"/>
          <w:szCs w:val="24"/>
        </w:rPr>
      </w:pPr>
      <w:r w:rsidRPr="00A83015">
        <w:rPr>
          <w:rFonts w:ascii="Arial" w:hAnsi="Arial" w:cs="Arial"/>
          <w:color w:val="000000" w:themeColor="text1"/>
          <w:sz w:val="24"/>
          <w:szCs w:val="24"/>
        </w:rPr>
        <w:t>Predmet Javnog poziva je prikupljanje prijava manifestacija i programa popularnog i zabavnog karaktera koji su značajni za lokalnu zajednicu, i nemaju primarnu kulturnu namjenu, a koji će se financirati sredstvima Primorsko-goranske županije (u daljnjem</w:t>
      </w:r>
      <w:r w:rsidRPr="00B23534">
        <w:rPr>
          <w:rFonts w:ascii="Arial" w:hAnsi="Arial" w:cs="Arial"/>
          <w:color w:val="000000" w:themeColor="text1"/>
          <w:sz w:val="24"/>
          <w:szCs w:val="24"/>
        </w:rPr>
        <w:t xml:space="preserve"> tekstu: Županija) u 2025. godini od 1. </w:t>
      </w:r>
      <w:r w:rsidR="00D33729">
        <w:rPr>
          <w:rFonts w:ascii="Arial" w:hAnsi="Arial" w:cs="Arial"/>
          <w:color w:val="000000" w:themeColor="text1"/>
          <w:sz w:val="24"/>
          <w:szCs w:val="24"/>
        </w:rPr>
        <w:t>srpnja</w:t>
      </w:r>
      <w:r w:rsidRPr="00B23534">
        <w:rPr>
          <w:rFonts w:ascii="Arial" w:hAnsi="Arial" w:cs="Arial"/>
          <w:color w:val="000000" w:themeColor="text1"/>
          <w:sz w:val="24"/>
          <w:szCs w:val="24"/>
        </w:rPr>
        <w:t xml:space="preserve"> do 3</w:t>
      </w:r>
      <w:r w:rsidR="00D33729">
        <w:rPr>
          <w:rFonts w:ascii="Arial" w:hAnsi="Arial" w:cs="Arial"/>
          <w:color w:val="000000" w:themeColor="text1"/>
          <w:sz w:val="24"/>
          <w:szCs w:val="24"/>
        </w:rPr>
        <w:t>1</w:t>
      </w:r>
      <w:r w:rsidRPr="00B23534">
        <w:rPr>
          <w:rFonts w:ascii="Arial" w:hAnsi="Arial" w:cs="Arial"/>
          <w:color w:val="000000" w:themeColor="text1"/>
          <w:sz w:val="24"/>
          <w:szCs w:val="24"/>
        </w:rPr>
        <w:t xml:space="preserve">. </w:t>
      </w:r>
      <w:r w:rsidR="00D33729">
        <w:rPr>
          <w:rFonts w:ascii="Arial" w:hAnsi="Arial" w:cs="Arial"/>
          <w:color w:val="000000" w:themeColor="text1"/>
          <w:sz w:val="24"/>
          <w:szCs w:val="24"/>
        </w:rPr>
        <w:t>prosinca</w:t>
      </w:r>
      <w:r w:rsidRPr="00B23534">
        <w:rPr>
          <w:rFonts w:ascii="Arial" w:hAnsi="Arial" w:cs="Arial"/>
          <w:color w:val="000000" w:themeColor="text1"/>
          <w:sz w:val="24"/>
          <w:szCs w:val="24"/>
        </w:rPr>
        <w:t>.</w:t>
      </w: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r w:rsidRPr="00B23534">
              <w:rPr>
                <w:rFonts w:ascii="Arial" w:hAnsi="Arial" w:cs="Arial"/>
                <w:color w:val="000000" w:themeColor="text1"/>
                <w:sz w:val="24"/>
                <w:szCs w:val="24"/>
              </w:rPr>
              <w:t>II</w:t>
            </w:r>
          </w:p>
        </w:tc>
      </w:tr>
    </w:tbl>
    <w:p w:rsidR="000D5214" w:rsidRPr="00B23534" w:rsidRDefault="000D5214" w:rsidP="000D5214">
      <w:pPr>
        <w:spacing w:line="240" w:lineRule="auto"/>
        <w:ind w:firstLine="708"/>
        <w:jc w:val="both"/>
        <w:rPr>
          <w:rFonts w:ascii="Arial" w:hAnsi="Arial" w:cs="Arial"/>
          <w:color w:val="000000" w:themeColor="text1"/>
          <w:sz w:val="24"/>
          <w:szCs w:val="24"/>
        </w:rPr>
      </w:pPr>
      <w:r w:rsidRPr="00B23534">
        <w:rPr>
          <w:rFonts w:ascii="Arial" w:hAnsi="Arial" w:cs="Arial"/>
          <w:color w:val="000000" w:themeColor="text1"/>
          <w:sz w:val="24"/>
          <w:szCs w:val="24"/>
        </w:rPr>
        <w:t xml:space="preserve">Prihvatljivi prijavitelji manifestacija  iz točke 1. ovoga </w:t>
      </w:r>
      <w:r>
        <w:rPr>
          <w:rFonts w:ascii="Arial" w:hAnsi="Arial" w:cs="Arial"/>
          <w:color w:val="000000" w:themeColor="text1"/>
          <w:sz w:val="24"/>
          <w:szCs w:val="24"/>
        </w:rPr>
        <w:t>poziva</w:t>
      </w:r>
      <w:r w:rsidRPr="00B23534">
        <w:rPr>
          <w:rFonts w:ascii="Arial" w:hAnsi="Arial" w:cs="Arial"/>
          <w:color w:val="000000" w:themeColor="text1"/>
          <w:sz w:val="24"/>
          <w:szCs w:val="24"/>
        </w:rPr>
        <w:t xml:space="preserve"> jesu: </w:t>
      </w:r>
      <w:r w:rsidRPr="00B23534">
        <w:rPr>
          <w:rFonts w:ascii="Arial" w:hAnsi="Arial" w:cs="Arial"/>
          <w:color w:val="000000" w:themeColor="text1"/>
          <w:sz w:val="24"/>
          <w:szCs w:val="24"/>
          <w:u w:val="single"/>
        </w:rPr>
        <w:t>udruge čije je područje djelovanja kultura i umjetnost i obavljaju djelatnost na području Primorsko-goranske županij</w:t>
      </w:r>
      <w:r w:rsidRPr="00B23534">
        <w:rPr>
          <w:rFonts w:ascii="Arial" w:hAnsi="Arial" w:cs="Arial"/>
          <w:color w:val="000000" w:themeColor="text1"/>
          <w:sz w:val="24"/>
          <w:szCs w:val="24"/>
        </w:rPr>
        <w:t>e. Udruge moraju biti upisane u Registar udruga Republike Hrvatske u području djelovanja kulture i umjetnosti (kulturna baština, izvedbene umjetnosti, vizualne umjetnosti, književno-nakladnička umjetnost, audiovizualna djelatnost, medijska kultura, strukovne udruge u kulturi i umjetnosti, interdisciplinarne kulturno-umjetničke djelatnosti, ostale djelatnosti iz područja kulture i umjetnosti) s područja Primorsko-goranske županije, koje su uredno ispunile obveze iz prethodno sklopljenih ugovora o financiranju iz proračuna Primorsko-goranske županije i drugih javnih izvora.</w:t>
      </w: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bookmarkStart w:id="2" w:name="_Hlk189398766"/>
            <w:r w:rsidRPr="00B23534">
              <w:rPr>
                <w:rFonts w:ascii="Arial" w:hAnsi="Arial" w:cs="Arial"/>
                <w:color w:val="000000" w:themeColor="text1"/>
                <w:sz w:val="24"/>
                <w:szCs w:val="24"/>
              </w:rPr>
              <w:t>III</w:t>
            </w:r>
          </w:p>
        </w:tc>
      </w:tr>
    </w:tbl>
    <w:bookmarkEnd w:id="2"/>
    <w:p w:rsidR="000D5214" w:rsidRPr="00B23534" w:rsidRDefault="000D5214" w:rsidP="000D5214">
      <w:pPr>
        <w:pStyle w:val="Default"/>
        <w:ind w:firstLine="708"/>
        <w:jc w:val="both"/>
        <w:rPr>
          <w:color w:val="000000" w:themeColor="text1"/>
        </w:rPr>
      </w:pPr>
      <w:r w:rsidRPr="00B23534">
        <w:rPr>
          <w:color w:val="000000" w:themeColor="text1"/>
        </w:rPr>
        <w:t>Financijska sredstva koja se dodjeljuju putem ovog Javnog poziva odnose se na manifestacije ili programe popularnog i zabavnog karaktera koje su značajne za lokalnu zajednicu, a  nemaju primarnu kulturnu namjenu. Manifestacije ili programi koji se mogu prijaviti moraju imati karakteristike popularno zabavnih događanja, ali moraju sadržavati i elemente edukacije i tradicijske baštine. Manifestacije ili programi mogu biti različitih formi, uglavnom jednodnevne, ali i višednevne sa ciljem stvaranja dodatnih i raznovrsnih sadržaja popularno zabavnog karaktera u lokalnoj zajednici. Cilj manifestacija ili programa koje se prijavljuju mora biti stvaranje dodatnog i raznovrsnog sadržaja u lokalnoj zajednici i podizanje kvalitete življenja kroz poticanje aktivnog doprinosa građanstva i korištenje lokalnih potencijala i tradicije.</w:t>
      </w:r>
    </w:p>
    <w:p w:rsidR="000D5214" w:rsidRPr="00B23534" w:rsidRDefault="000D5214" w:rsidP="000D5214">
      <w:pPr>
        <w:pStyle w:val="Default"/>
        <w:jc w:val="both"/>
        <w:rPr>
          <w:color w:val="000000" w:themeColor="text1"/>
          <w:sz w:val="8"/>
          <w:szCs w:val="8"/>
        </w:rPr>
      </w:pP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bookmarkStart w:id="3" w:name="_Hlk189399038"/>
            <w:r w:rsidRPr="00B23534">
              <w:rPr>
                <w:rFonts w:ascii="Arial" w:hAnsi="Arial" w:cs="Arial"/>
                <w:color w:val="000000" w:themeColor="text1"/>
                <w:sz w:val="24"/>
                <w:szCs w:val="24"/>
              </w:rPr>
              <w:t>IV</w:t>
            </w:r>
          </w:p>
        </w:tc>
      </w:tr>
    </w:tbl>
    <w:bookmarkEnd w:id="3"/>
    <w:p w:rsidR="000D5214" w:rsidRPr="00B23534" w:rsidRDefault="000D5214" w:rsidP="000D5214">
      <w:pPr>
        <w:pStyle w:val="Default"/>
        <w:ind w:firstLine="708"/>
        <w:jc w:val="both"/>
        <w:rPr>
          <w:color w:val="000000" w:themeColor="text1"/>
        </w:rPr>
      </w:pPr>
      <w:r w:rsidRPr="00B23534">
        <w:rPr>
          <w:color w:val="000000" w:themeColor="text1"/>
        </w:rPr>
        <w:t xml:space="preserve">Ukupan iznos novčanih sredstava raspoloživih za dodjelu iznosi </w:t>
      </w:r>
      <w:r w:rsidR="00DF0FA4" w:rsidRPr="003840AC">
        <w:rPr>
          <w:bCs/>
        </w:rPr>
        <w:t>47.900</w:t>
      </w:r>
      <w:r w:rsidRPr="00B23534">
        <w:rPr>
          <w:color w:val="000000" w:themeColor="text1"/>
        </w:rPr>
        <w:t>,00 eura.</w:t>
      </w:r>
    </w:p>
    <w:p w:rsidR="000D5214" w:rsidRPr="00B23534" w:rsidRDefault="000D5214" w:rsidP="000D5214">
      <w:pPr>
        <w:autoSpaceDE w:val="0"/>
        <w:autoSpaceDN w:val="0"/>
        <w:adjustRightInd w:val="0"/>
        <w:spacing w:after="0" w:line="240" w:lineRule="auto"/>
        <w:jc w:val="both"/>
        <w:rPr>
          <w:rFonts w:ascii="Arial" w:hAnsi="Arial" w:cs="Arial"/>
          <w:color w:val="000000" w:themeColor="text1"/>
          <w:sz w:val="24"/>
          <w:szCs w:val="24"/>
        </w:rPr>
      </w:pPr>
      <w:r w:rsidRPr="00B23534">
        <w:rPr>
          <w:rFonts w:ascii="Arial" w:hAnsi="Arial" w:cs="Arial"/>
          <w:color w:val="000000" w:themeColor="text1"/>
          <w:sz w:val="24"/>
          <w:szCs w:val="24"/>
        </w:rPr>
        <w:t xml:space="preserve">Najmanji iznos financijskih sredstava koji se može prijaviti i ugovoriti po pojedinoj manifestaciji ili programu je 700,00 eura, a najveći iznos po pojedinoj manifestaciji ili programu je </w:t>
      </w:r>
      <w:r w:rsidR="00DF0FA4">
        <w:rPr>
          <w:rFonts w:ascii="Arial" w:hAnsi="Arial" w:cs="Arial"/>
          <w:color w:val="000000" w:themeColor="text1"/>
          <w:sz w:val="24"/>
          <w:szCs w:val="24"/>
        </w:rPr>
        <w:t>10</w:t>
      </w:r>
      <w:r w:rsidRPr="00B23534">
        <w:rPr>
          <w:rFonts w:ascii="Arial" w:hAnsi="Arial" w:cs="Arial"/>
          <w:color w:val="000000" w:themeColor="text1"/>
          <w:sz w:val="24"/>
          <w:szCs w:val="24"/>
        </w:rPr>
        <w:t>.000,00 eura.</w:t>
      </w:r>
    </w:p>
    <w:p w:rsidR="000D5214" w:rsidRDefault="000D5214" w:rsidP="000D5214">
      <w:pPr>
        <w:autoSpaceDE w:val="0"/>
        <w:autoSpaceDN w:val="0"/>
        <w:adjustRightInd w:val="0"/>
        <w:spacing w:after="0" w:line="240" w:lineRule="auto"/>
        <w:ind w:firstLine="709"/>
        <w:jc w:val="both"/>
        <w:rPr>
          <w:rFonts w:ascii="Arial" w:hAnsi="Arial" w:cs="Arial"/>
          <w:color w:val="000000" w:themeColor="text1"/>
          <w:sz w:val="24"/>
          <w:szCs w:val="24"/>
        </w:rPr>
      </w:pPr>
      <w:r w:rsidRPr="00B23534">
        <w:rPr>
          <w:rFonts w:ascii="Arial" w:hAnsi="Arial" w:cs="Arial"/>
          <w:color w:val="000000" w:themeColor="text1"/>
          <w:sz w:val="24"/>
          <w:szCs w:val="24"/>
        </w:rPr>
        <w:t xml:space="preserve">Okvirni broj ugovora iznosi </w:t>
      </w:r>
      <w:r w:rsidR="00A12408">
        <w:rPr>
          <w:rFonts w:ascii="Arial" w:hAnsi="Arial" w:cs="Arial"/>
          <w:color w:val="000000" w:themeColor="text1"/>
          <w:sz w:val="24"/>
          <w:szCs w:val="24"/>
        </w:rPr>
        <w:t>trideset (</w:t>
      </w:r>
      <w:r w:rsidR="004F7136">
        <w:rPr>
          <w:rFonts w:ascii="Arial" w:hAnsi="Arial" w:cs="Arial"/>
          <w:color w:val="000000" w:themeColor="text1"/>
          <w:sz w:val="24"/>
          <w:szCs w:val="24"/>
        </w:rPr>
        <w:t>30</w:t>
      </w:r>
      <w:r w:rsidR="00A12408">
        <w:rPr>
          <w:rFonts w:ascii="Arial" w:hAnsi="Arial" w:cs="Arial"/>
          <w:color w:val="000000" w:themeColor="text1"/>
          <w:sz w:val="24"/>
          <w:szCs w:val="24"/>
        </w:rPr>
        <w:t>)</w:t>
      </w:r>
      <w:bookmarkStart w:id="4" w:name="_GoBack"/>
      <w:bookmarkEnd w:id="4"/>
      <w:r w:rsidRPr="00B23534">
        <w:rPr>
          <w:rFonts w:ascii="Arial" w:hAnsi="Arial" w:cs="Arial"/>
          <w:color w:val="000000" w:themeColor="text1"/>
          <w:sz w:val="24"/>
          <w:szCs w:val="24"/>
        </w:rPr>
        <w:t>. Svaki Prijavitelj može prijaviti samo jednu (1) manifestaciju ili program.</w:t>
      </w:r>
    </w:p>
    <w:p w:rsidR="000D5214" w:rsidRPr="00B23534" w:rsidRDefault="000D5214" w:rsidP="000D5214">
      <w:pPr>
        <w:autoSpaceDE w:val="0"/>
        <w:autoSpaceDN w:val="0"/>
        <w:adjustRightInd w:val="0"/>
        <w:spacing w:after="0" w:line="240" w:lineRule="auto"/>
        <w:ind w:firstLine="709"/>
        <w:jc w:val="both"/>
        <w:rPr>
          <w:rFonts w:ascii="Arial" w:hAnsi="Arial" w:cs="Arial"/>
          <w:color w:val="000000" w:themeColor="text1"/>
          <w:sz w:val="24"/>
          <w:szCs w:val="24"/>
        </w:rPr>
      </w:pPr>
    </w:p>
    <w:p w:rsidR="000D5214" w:rsidRPr="00B23534" w:rsidRDefault="000D5214" w:rsidP="000D5214">
      <w:pPr>
        <w:autoSpaceDE w:val="0"/>
        <w:autoSpaceDN w:val="0"/>
        <w:adjustRightInd w:val="0"/>
        <w:spacing w:after="0" w:line="240" w:lineRule="auto"/>
        <w:ind w:left="709"/>
        <w:jc w:val="both"/>
        <w:rPr>
          <w:rFonts w:ascii="Arial" w:hAnsi="Arial" w:cs="Arial"/>
          <w:color w:val="000000" w:themeColor="text1"/>
          <w:sz w:val="4"/>
          <w:szCs w:val="4"/>
        </w:rPr>
      </w:pP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r w:rsidRPr="00B23534">
              <w:rPr>
                <w:rFonts w:ascii="Arial" w:hAnsi="Arial" w:cs="Arial"/>
                <w:color w:val="000000" w:themeColor="text1"/>
                <w:sz w:val="24"/>
                <w:szCs w:val="24"/>
              </w:rPr>
              <w:t>V</w:t>
            </w:r>
          </w:p>
        </w:tc>
      </w:tr>
    </w:tbl>
    <w:p w:rsidR="000D5214" w:rsidRPr="00B23534" w:rsidRDefault="000D5214" w:rsidP="000D5214">
      <w:pPr>
        <w:spacing w:line="240" w:lineRule="auto"/>
        <w:ind w:firstLine="708"/>
        <w:jc w:val="both"/>
        <w:rPr>
          <w:rFonts w:ascii="Arial" w:hAnsi="Arial" w:cs="Arial"/>
          <w:color w:val="000000" w:themeColor="text1"/>
          <w:sz w:val="24"/>
          <w:szCs w:val="24"/>
        </w:rPr>
      </w:pPr>
      <w:r w:rsidRPr="00B23534">
        <w:rPr>
          <w:rFonts w:ascii="Arial" w:hAnsi="Arial" w:cs="Arial"/>
          <w:color w:val="000000" w:themeColor="text1"/>
          <w:sz w:val="24"/>
          <w:szCs w:val="24"/>
        </w:rPr>
        <w:t xml:space="preserve">Na ovaj Javni poziv </w:t>
      </w:r>
      <w:r w:rsidRPr="00B23534">
        <w:rPr>
          <w:rFonts w:ascii="Arial" w:hAnsi="Arial" w:cs="Arial"/>
          <w:color w:val="000000" w:themeColor="text1"/>
          <w:sz w:val="24"/>
          <w:szCs w:val="24"/>
          <w:u w:val="single"/>
        </w:rPr>
        <w:t>ne mogu</w:t>
      </w:r>
      <w:r w:rsidRPr="00B23534">
        <w:rPr>
          <w:rFonts w:ascii="Arial" w:hAnsi="Arial" w:cs="Arial"/>
          <w:color w:val="000000" w:themeColor="text1"/>
          <w:sz w:val="24"/>
          <w:szCs w:val="24"/>
        </w:rPr>
        <w:t xml:space="preserve"> se prijaviti manifestacije i programi  komercijalnog karaktera ili manifestacije ili programi koji se organiziraju sa ciljem smanjenja sezonalnosti i povećanja turističke potražnje tijekom cijele godine.</w:t>
      </w: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r w:rsidRPr="00B23534">
              <w:rPr>
                <w:rFonts w:ascii="Arial" w:hAnsi="Arial" w:cs="Arial"/>
                <w:color w:val="000000" w:themeColor="text1"/>
                <w:sz w:val="24"/>
                <w:szCs w:val="24"/>
              </w:rPr>
              <w:t>VI</w:t>
            </w:r>
          </w:p>
        </w:tc>
      </w:tr>
    </w:tbl>
    <w:p w:rsidR="000D5214" w:rsidRPr="00B23534" w:rsidRDefault="000D5214" w:rsidP="000D5214">
      <w:pPr>
        <w:spacing w:line="240" w:lineRule="auto"/>
        <w:ind w:firstLine="708"/>
        <w:jc w:val="both"/>
        <w:rPr>
          <w:rFonts w:ascii="Arial" w:hAnsi="Arial" w:cs="Arial"/>
          <w:color w:val="000000" w:themeColor="text1"/>
          <w:sz w:val="24"/>
          <w:szCs w:val="24"/>
        </w:rPr>
      </w:pPr>
      <w:r w:rsidRPr="00B23534">
        <w:rPr>
          <w:rFonts w:ascii="Arial" w:hAnsi="Arial" w:cs="Arial"/>
          <w:color w:val="000000" w:themeColor="text1"/>
          <w:sz w:val="24"/>
          <w:szCs w:val="24"/>
        </w:rPr>
        <w:t xml:space="preserve">Na ovaj Javni poziv </w:t>
      </w:r>
      <w:r w:rsidRPr="00B23534">
        <w:rPr>
          <w:rFonts w:ascii="Arial" w:hAnsi="Arial" w:cs="Arial"/>
          <w:color w:val="000000" w:themeColor="text1"/>
          <w:sz w:val="24"/>
          <w:szCs w:val="24"/>
          <w:u w:val="single"/>
        </w:rPr>
        <w:t>mogu</w:t>
      </w:r>
      <w:r w:rsidRPr="00B23534">
        <w:rPr>
          <w:rFonts w:ascii="Arial" w:hAnsi="Arial" w:cs="Arial"/>
          <w:color w:val="000000" w:themeColor="text1"/>
          <w:sz w:val="24"/>
          <w:szCs w:val="24"/>
        </w:rPr>
        <w:t xml:space="preserve"> se prijaviti isključivo manifestacije i programi koji za cilj imaju stvaranje dodatnog i raznovrsnog sadržaja u lokalnoj zajednici i podizanje kvalitete življenja kroz poticanje aktivnog građanstva i korištenje lokalnih potencijala i tradicije. </w:t>
      </w: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r w:rsidRPr="00B23534">
              <w:rPr>
                <w:rFonts w:ascii="Arial" w:hAnsi="Arial" w:cs="Arial"/>
                <w:color w:val="000000" w:themeColor="text1"/>
                <w:sz w:val="24"/>
                <w:szCs w:val="24"/>
              </w:rPr>
              <w:t>VII</w:t>
            </w:r>
          </w:p>
        </w:tc>
      </w:tr>
    </w:tbl>
    <w:p w:rsidR="000D5214" w:rsidRDefault="000D5214" w:rsidP="000D5214">
      <w:pPr>
        <w:autoSpaceDE w:val="0"/>
        <w:autoSpaceDN w:val="0"/>
        <w:adjustRightInd w:val="0"/>
        <w:spacing w:after="0" w:line="240" w:lineRule="auto"/>
        <w:ind w:firstLine="708"/>
        <w:jc w:val="both"/>
        <w:rPr>
          <w:rFonts w:ascii="Arial" w:hAnsi="Arial" w:cs="Arial"/>
          <w:color w:val="000000" w:themeColor="text1"/>
          <w:sz w:val="24"/>
          <w:szCs w:val="24"/>
        </w:rPr>
      </w:pPr>
      <w:r w:rsidRPr="00B23534">
        <w:rPr>
          <w:rFonts w:ascii="Arial" w:hAnsi="Arial" w:cs="Arial"/>
          <w:color w:val="000000" w:themeColor="text1"/>
          <w:sz w:val="24"/>
          <w:szCs w:val="24"/>
        </w:rPr>
        <w:t xml:space="preserve">Prijava manifestacije ili programa treba biti izrađena sukladno odredbama </w:t>
      </w:r>
      <w:r w:rsidRPr="00A83015">
        <w:rPr>
          <w:rFonts w:ascii="Arial" w:hAnsi="Arial" w:cs="Arial"/>
          <w:color w:val="000000" w:themeColor="text1"/>
          <w:sz w:val="24"/>
          <w:szCs w:val="24"/>
        </w:rPr>
        <w:t>Uputa</w:t>
      </w:r>
      <w:r w:rsidRPr="00B23534">
        <w:rPr>
          <w:rFonts w:ascii="Arial" w:hAnsi="Arial" w:cs="Arial"/>
          <w:color w:val="000000" w:themeColor="text1"/>
          <w:sz w:val="24"/>
          <w:szCs w:val="24"/>
        </w:rPr>
        <w:t xml:space="preserve"> za prijavitelje, a isti prijavitelj može prijaviti jednu </w:t>
      </w:r>
      <w:bookmarkStart w:id="5" w:name="_Hlk189415124"/>
      <w:r w:rsidRPr="00B23534">
        <w:rPr>
          <w:rFonts w:ascii="Arial" w:hAnsi="Arial" w:cs="Arial"/>
          <w:color w:val="000000" w:themeColor="text1"/>
          <w:sz w:val="24"/>
          <w:szCs w:val="24"/>
        </w:rPr>
        <w:t xml:space="preserve">manifestaciju ili jedan program koji će se provesti ili je već proveden u razdoblju od 1. </w:t>
      </w:r>
      <w:r w:rsidR="00D33729">
        <w:rPr>
          <w:rFonts w:ascii="Arial" w:hAnsi="Arial" w:cs="Arial"/>
          <w:color w:val="000000" w:themeColor="text1"/>
          <w:sz w:val="24"/>
          <w:szCs w:val="24"/>
        </w:rPr>
        <w:t>srpnja</w:t>
      </w:r>
      <w:r w:rsidRPr="00B23534">
        <w:rPr>
          <w:rFonts w:ascii="Arial" w:hAnsi="Arial" w:cs="Arial"/>
          <w:color w:val="000000" w:themeColor="text1"/>
          <w:sz w:val="24"/>
          <w:szCs w:val="24"/>
        </w:rPr>
        <w:t xml:space="preserve"> do 3</w:t>
      </w:r>
      <w:r w:rsidR="00D33729">
        <w:rPr>
          <w:rFonts w:ascii="Arial" w:hAnsi="Arial" w:cs="Arial"/>
          <w:color w:val="000000" w:themeColor="text1"/>
          <w:sz w:val="24"/>
          <w:szCs w:val="24"/>
        </w:rPr>
        <w:t>1</w:t>
      </w:r>
      <w:r w:rsidRPr="00B23534">
        <w:rPr>
          <w:rFonts w:ascii="Arial" w:hAnsi="Arial" w:cs="Arial"/>
          <w:color w:val="000000" w:themeColor="text1"/>
          <w:sz w:val="24"/>
          <w:szCs w:val="24"/>
        </w:rPr>
        <w:t xml:space="preserve">. </w:t>
      </w:r>
      <w:r w:rsidR="00D33729">
        <w:rPr>
          <w:rFonts w:ascii="Arial" w:hAnsi="Arial" w:cs="Arial"/>
          <w:color w:val="000000" w:themeColor="text1"/>
          <w:sz w:val="24"/>
          <w:szCs w:val="24"/>
        </w:rPr>
        <w:t>prosinca</w:t>
      </w:r>
      <w:r w:rsidRPr="00B23534">
        <w:rPr>
          <w:rFonts w:ascii="Arial" w:hAnsi="Arial" w:cs="Arial"/>
          <w:color w:val="000000" w:themeColor="text1"/>
          <w:sz w:val="24"/>
          <w:szCs w:val="24"/>
        </w:rPr>
        <w:t xml:space="preserve"> 2025. godine</w:t>
      </w:r>
      <w:bookmarkEnd w:id="5"/>
      <w:r w:rsidRPr="00B23534">
        <w:rPr>
          <w:rFonts w:ascii="Arial" w:hAnsi="Arial" w:cs="Arial"/>
          <w:color w:val="000000" w:themeColor="text1"/>
          <w:sz w:val="24"/>
          <w:szCs w:val="24"/>
        </w:rPr>
        <w:t>.</w:t>
      </w:r>
    </w:p>
    <w:p w:rsidR="000D5214" w:rsidRPr="006024DC" w:rsidRDefault="000D5214" w:rsidP="000D5214">
      <w:pPr>
        <w:jc w:val="both"/>
        <w:rPr>
          <w:rFonts w:ascii="Arial" w:hAnsi="Arial" w:cs="Arial"/>
          <w:color w:val="000000" w:themeColor="text1"/>
        </w:rPr>
      </w:pPr>
      <w:r w:rsidRPr="006024DC">
        <w:rPr>
          <w:rFonts w:ascii="Arial" w:hAnsi="Arial" w:cs="Arial"/>
          <w:color w:val="000000" w:themeColor="text1"/>
          <w:sz w:val="24"/>
          <w:szCs w:val="24"/>
        </w:rPr>
        <w:t xml:space="preserve">Rok za podnošenje prijava na Javni poziv je </w:t>
      </w:r>
      <w:r w:rsidR="00A15D11">
        <w:rPr>
          <w:rFonts w:ascii="Arial" w:hAnsi="Arial" w:cs="Arial"/>
          <w:color w:val="000000" w:themeColor="text1"/>
          <w:sz w:val="24"/>
          <w:szCs w:val="24"/>
        </w:rPr>
        <w:t>trideset</w:t>
      </w:r>
      <w:r w:rsidRPr="006024DC">
        <w:rPr>
          <w:rFonts w:ascii="Arial" w:hAnsi="Arial" w:cs="Arial"/>
          <w:color w:val="000000" w:themeColor="text1"/>
          <w:sz w:val="24"/>
          <w:szCs w:val="24"/>
        </w:rPr>
        <w:t xml:space="preserve"> (30</w:t>
      </w:r>
      <w:r w:rsidRPr="0061396B">
        <w:rPr>
          <w:rFonts w:ascii="Arial" w:hAnsi="Arial" w:cs="Arial"/>
          <w:color w:val="000000" w:themeColor="text1"/>
          <w:sz w:val="24"/>
          <w:szCs w:val="24"/>
        </w:rPr>
        <w:t xml:space="preserve">) dana, odnosno od </w:t>
      </w:r>
      <w:r w:rsidR="004F7136">
        <w:rPr>
          <w:rFonts w:ascii="Arial" w:hAnsi="Arial" w:cs="Arial"/>
          <w:color w:val="000000" w:themeColor="text1"/>
          <w:sz w:val="24"/>
          <w:szCs w:val="24"/>
        </w:rPr>
        <w:t>8</w:t>
      </w:r>
      <w:r w:rsidR="00DF0FA4" w:rsidRPr="0061396B">
        <w:rPr>
          <w:rFonts w:ascii="Arial" w:hAnsi="Arial" w:cs="Arial"/>
          <w:color w:val="000000" w:themeColor="text1"/>
          <w:sz w:val="24"/>
          <w:szCs w:val="24"/>
        </w:rPr>
        <w:t>. rujna</w:t>
      </w:r>
      <w:r w:rsidRPr="0061396B">
        <w:rPr>
          <w:rFonts w:ascii="Arial" w:hAnsi="Arial" w:cs="Arial"/>
          <w:color w:val="000000" w:themeColor="text1"/>
          <w:sz w:val="24"/>
          <w:szCs w:val="24"/>
        </w:rPr>
        <w:t xml:space="preserve"> 2025. do </w:t>
      </w:r>
      <w:r w:rsidR="004F7136">
        <w:rPr>
          <w:rFonts w:ascii="Arial" w:hAnsi="Arial" w:cs="Arial"/>
          <w:color w:val="000000" w:themeColor="text1"/>
          <w:sz w:val="24"/>
          <w:szCs w:val="24"/>
        </w:rPr>
        <w:t>8</w:t>
      </w:r>
      <w:r w:rsidR="00DF0FA4" w:rsidRPr="0061396B">
        <w:rPr>
          <w:rFonts w:ascii="Arial" w:hAnsi="Arial" w:cs="Arial"/>
          <w:color w:val="000000" w:themeColor="text1"/>
          <w:sz w:val="24"/>
          <w:szCs w:val="24"/>
        </w:rPr>
        <w:t>. listopada</w:t>
      </w:r>
      <w:r w:rsidRPr="0061396B">
        <w:rPr>
          <w:rFonts w:ascii="Arial" w:hAnsi="Arial" w:cs="Arial"/>
          <w:color w:val="000000" w:themeColor="text1"/>
          <w:sz w:val="24"/>
          <w:szCs w:val="24"/>
        </w:rPr>
        <w:t xml:space="preserve"> 2025. godine.</w:t>
      </w:r>
    </w:p>
    <w:p w:rsidR="000D5214" w:rsidRPr="00B23534" w:rsidRDefault="000D5214" w:rsidP="000D5214">
      <w:pPr>
        <w:autoSpaceDE w:val="0"/>
        <w:autoSpaceDN w:val="0"/>
        <w:adjustRightInd w:val="0"/>
        <w:spacing w:after="0" w:line="240" w:lineRule="auto"/>
        <w:ind w:firstLine="708"/>
        <w:jc w:val="both"/>
        <w:rPr>
          <w:rFonts w:ascii="Arial" w:hAnsi="Arial" w:cs="Arial"/>
          <w:color w:val="000000" w:themeColor="text1"/>
          <w:sz w:val="8"/>
          <w:szCs w:val="8"/>
        </w:rPr>
      </w:pP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r w:rsidRPr="00B23534">
              <w:rPr>
                <w:rFonts w:ascii="Arial" w:hAnsi="Arial" w:cs="Arial"/>
                <w:color w:val="000000" w:themeColor="text1"/>
                <w:sz w:val="24"/>
                <w:szCs w:val="24"/>
              </w:rPr>
              <w:t>VIII</w:t>
            </w:r>
          </w:p>
        </w:tc>
      </w:tr>
    </w:tbl>
    <w:p w:rsidR="000D5214" w:rsidRPr="00B23534" w:rsidRDefault="000D5214" w:rsidP="000D5214">
      <w:pPr>
        <w:ind w:firstLine="708"/>
        <w:jc w:val="both"/>
        <w:rPr>
          <w:rFonts w:ascii="Arial" w:hAnsi="Arial" w:cs="Arial"/>
          <w:color w:val="000000" w:themeColor="text1"/>
          <w:sz w:val="24"/>
          <w:szCs w:val="24"/>
        </w:rPr>
      </w:pPr>
      <w:r w:rsidRPr="00B23534">
        <w:rPr>
          <w:rFonts w:ascii="Arial" w:hAnsi="Arial" w:cs="Arial"/>
          <w:color w:val="000000" w:themeColor="text1"/>
          <w:sz w:val="24"/>
          <w:szCs w:val="24"/>
        </w:rPr>
        <w:t xml:space="preserve">Prijave za manifestacije ili programe koje je Prijavitelj već prijavio na neki drugi natječaj/javni poziv raspisan za programe koje se provode tijekom 2025. godini od strane ovog ili drugog županijskog upravnog odjela neće se razmatrati. </w:t>
      </w:r>
    </w:p>
    <w:p w:rsidR="000D5214" w:rsidRPr="00B23534" w:rsidRDefault="000D5214" w:rsidP="000D5214">
      <w:pPr>
        <w:autoSpaceDE w:val="0"/>
        <w:autoSpaceDN w:val="0"/>
        <w:adjustRightInd w:val="0"/>
        <w:spacing w:after="0" w:line="240" w:lineRule="auto"/>
        <w:ind w:firstLine="360"/>
        <w:jc w:val="both"/>
        <w:rPr>
          <w:rFonts w:ascii="Arial" w:hAnsi="Arial" w:cs="Arial"/>
          <w:color w:val="000000" w:themeColor="text1"/>
          <w:sz w:val="6"/>
          <w:szCs w:val="6"/>
        </w:rPr>
      </w:pP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r w:rsidRPr="00B23534">
              <w:rPr>
                <w:rFonts w:ascii="Arial" w:hAnsi="Arial" w:cs="Arial"/>
                <w:color w:val="000000" w:themeColor="text1"/>
                <w:sz w:val="24"/>
                <w:szCs w:val="24"/>
              </w:rPr>
              <w:t>IX</w:t>
            </w:r>
          </w:p>
        </w:tc>
      </w:tr>
    </w:tbl>
    <w:p w:rsidR="000D5214" w:rsidRPr="00B23534" w:rsidRDefault="000D5214" w:rsidP="000D5214">
      <w:pPr>
        <w:autoSpaceDE w:val="0"/>
        <w:autoSpaceDN w:val="0"/>
        <w:adjustRightInd w:val="0"/>
        <w:spacing w:after="0" w:line="240" w:lineRule="auto"/>
        <w:ind w:firstLine="708"/>
        <w:jc w:val="both"/>
        <w:rPr>
          <w:rFonts w:ascii="Arial" w:hAnsi="Arial" w:cs="Arial"/>
          <w:color w:val="000000" w:themeColor="text1"/>
          <w:sz w:val="24"/>
          <w:szCs w:val="24"/>
        </w:rPr>
      </w:pPr>
      <w:r w:rsidRPr="00B23534">
        <w:rPr>
          <w:rFonts w:ascii="Arial" w:hAnsi="Arial" w:cs="Arial"/>
          <w:color w:val="000000" w:themeColor="text1"/>
          <w:sz w:val="24"/>
          <w:szCs w:val="24"/>
        </w:rPr>
        <w:t>Župan zadržava pravo poništiti Javni poziv u bilo kojem trenutku bez obaveze navođenja razloga.</w:t>
      </w:r>
    </w:p>
    <w:p w:rsidR="000D5214" w:rsidRPr="00B23534" w:rsidRDefault="000D5214" w:rsidP="000D5214">
      <w:pPr>
        <w:autoSpaceDE w:val="0"/>
        <w:autoSpaceDN w:val="0"/>
        <w:adjustRightInd w:val="0"/>
        <w:spacing w:after="0" w:line="240" w:lineRule="auto"/>
        <w:ind w:firstLine="360"/>
        <w:jc w:val="both"/>
        <w:rPr>
          <w:rFonts w:ascii="Arial" w:hAnsi="Arial" w:cs="Arial"/>
          <w:color w:val="000000" w:themeColor="text1"/>
          <w:sz w:val="12"/>
          <w:szCs w:val="12"/>
        </w:rPr>
      </w:pP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r w:rsidRPr="00B23534">
              <w:rPr>
                <w:rFonts w:ascii="Arial" w:hAnsi="Arial" w:cs="Arial"/>
                <w:color w:val="000000" w:themeColor="text1"/>
                <w:sz w:val="24"/>
                <w:szCs w:val="24"/>
              </w:rPr>
              <w:t>X</w:t>
            </w:r>
          </w:p>
        </w:tc>
      </w:tr>
    </w:tbl>
    <w:p w:rsidR="000D5214" w:rsidRPr="00B23534" w:rsidRDefault="000D5214" w:rsidP="000D5214">
      <w:pPr>
        <w:spacing w:line="240" w:lineRule="auto"/>
        <w:ind w:firstLine="708"/>
        <w:jc w:val="both"/>
        <w:rPr>
          <w:rFonts w:ascii="Arial" w:hAnsi="Arial" w:cs="Arial"/>
          <w:color w:val="000000" w:themeColor="text1"/>
        </w:rPr>
      </w:pPr>
      <w:r w:rsidRPr="00B23534">
        <w:rPr>
          <w:rFonts w:ascii="Arial" w:hAnsi="Arial" w:cs="Arial"/>
          <w:color w:val="000000" w:themeColor="text1"/>
          <w:sz w:val="24"/>
          <w:szCs w:val="24"/>
        </w:rPr>
        <w:t>U slučaju da tijekom 2025. godine putem Izmjena i dopuna Proračuna Primorsko-goranske županije dođe do povećanja financijskih sredstava isključivo za ovu namjenu odnosno za ovaj raspis Javnog poziva, dodijeljena sredstva proporcionalno će se rasporediti po svim korisnicima ovog Javnog poziva koji su utvrđeni pripadajućom Odlukom o dodjeli financijskih sredstava.</w:t>
      </w: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r w:rsidRPr="00B23534">
              <w:rPr>
                <w:rFonts w:ascii="Arial" w:hAnsi="Arial" w:cs="Arial"/>
                <w:color w:val="000000" w:themeColor="text1"/>
                <w:sz w:val="24"/>
                <w:szCs w:val="24"/>
              </w:rPr>
              <w:t>XI</w:t>
            </w:r>
          </w:p>
        </w:tc>
      </w:tr>
    </w:tbl>
    <w:p w:rsidR="000D5214" w:rsidRPr="00B23534" w:rsidRDefault="000D5214" w:rsidP="000D5214">
      <w:pPr>
        <w:autoSpaceDE w:val="0"/>
        <w:autoSpaceDN w:val="0"/>
        <w:adjustRightInd w:val="0"/>
        <w:spacing w:after="0" w:line="240" w:lineRule="auto"/>
        <w:ind w:firstLine="426"/>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t>Popunjena i ovjerena prijava zajedno s potrebnom dokumentacijom, u papirnatom obliku, dostavlja se preporučeno poštom ili osobno, u zatvorenoj omotnici, na sljedeću adresu:</w:t>
      </w:r>
    </w:p>
    <w:p w:rsidR="000D5214" w:rsidRPr="00B23534" w:rsidRDefault="000D5214" w:rsidP="000D5214">
      <w:pPr>
        <w:autoSpaceDE w:val="0"/>
        <w:autoSpaceDN w:val="0"/>
        <w:adjustRightInd w:val="0"/>
        <w:spacing w:after="0" w:line="240" w:lineRule="auto"/>
        <w:ind w:firstLine="426"/>
        <w:jc w:val="both"/>
        <w:rPr>
          <w:rFonts w:ascii="Arial" w:hAnsi="Arial" w:cs="Arial"/>
          <w:color w:val="000000" w:themeColor="text1"/>
          <w:sz w:val="24"/>
          <w:szCs w:val="24"/>
        </w:rPr>
      </w:pPr>
    </w:p>
    <w:tbl>
      <w:tblPr>
        <w:tblStyle w:val="TableGrid"/>
        <w:tblW w:w="0" w:type="auto"/>
        <w:tblInd w:w="-5" w:type="dxa"/>
        <w:tblLook w:val="04A0" w:firstRow="1" w:lastRow="0" w:firstColumn="1" w:lastColumn="0" w:noHBand="0" w:noVBand="1"/>
      </w:tblPr>
      <w:tblGrid>
        <w:gridCol w:w="9067"/>
      </w:tblGrid>
      <w:tr w:rsidR="000D5214" w:rsidRPr="00B23534" w:rsidTr="001D5E4C">
        <w:tc>
          <w:tcPr>
            <w:tcW w:w="9067" w:type="dxa"/>
          </w:tcPr>
          <w:p w:rsidR="000D5214" w:rsidRPr="00B23534" w:rsidRDefault="000D5214" w:rsidP="001D5E4C">
            <w:pPr>
              <w:spacing w:line="276" w:lineRule="auto"/>
              <w:jc w:val="center"/>
              <w:rPr>
                <w:rFonts w:ascii="Arial" w:hAnsi="Arial" w:cs="Arial"/>
                <w:b/>
                <w:bCs/>
                <w:color w:val="000000" w:themeColor="text1"/>
                <w:sz w:val="24"/>
                <w:szCs w:val="24"/>
              </w:rPr>
            </w:pPr>
            <w:r w:rsidRPr="00B23534">
              <w:rPr>
                <w:rFonts w:ascii="Arial" w:hAnsi="Arial" w:cs="Arial"/>
                <w:b/>
                <w:bCs/>
                <w:color w:val="000000" w:themeColor="text1"/>
              </w:rPr>
              <w:br/>
            </w:r>
            <w:r>
              <w:rPr>
                <w:rFonts w:ascii="Arial" w:hAnsi="Arial" w:cs="Arial"/>
                <w:b/>
                <w:bCs/>
                <w:color w:val="000000" w:themeColor="text1"/>
                <w:sz w:val="24"/>
                <w:szCs w:val="24"/>
              </w:rPr>
              <w:t>PRIMORSKO-</w:t>
            </w:r>
            <w:r w:rsidRPr="00B23534">
              <w:rPr>
                <w:rFonts w:ascii="Arial" w:hAnsi="Arial" w:cs="Arial"/>
                <w:b/>
                <w:bCs/>
                <w:color w:val="000000" w:themeColor="text1"/>
                <w:sz w:val="24"/>
                <w:szCs w:val="24"/>
              </w:rPr>
              <w:t>GORANSKA ŽUPANIJA</w:t>
            </w:r>
          </w:p>
          <w:p w:rsidR="000D5214" w:rsidRPr="00B23534" w:rsidRDefault="000D5214" w:rsidP="001D5E4C">
            <w:pPr>
              <w:spacing w:line="276" w:lineRule="auto"/>
              <w:jc w:val="center"/>
              <w:rPr>
                <w:rFonts w:ascii="Arial" w:hAnsi="Arial" w:cs="Arial"/>
                <w:b/>
                <w:bCs/>
                <w:color w:val="000000" w:themeColor="text1"/>
                <w:sz w:val="24"/>
                <w:szCs w:val="24"/>
              </w:rPr>
            </w:pPr>
            <w:r w:rsidRPr="00B23534">
              <w:rPr>
                <w:rFonts w:ascii="Arial" w:hAnsi="Arial" w:cs="Arial"/>
                <w:b/>
                <w:bCs/>
                <w:color w:val="000000" w:themeColor="text1"/>
                <w:sz w:val="24"/>
                <w:szCs w:val="24"/>
              </w:rPr>
              <w:t>UPRAVNI ODJEL ZA KULTURU, SPORT I TEHNIČKU KULTURU</w:t>
            </w:r>
          </w:p>
          <w:p w:rsidR="000D5214" w:rsidRPr="00B23534" w:rsidRDefault="000D5214" w:rsidP="001D5E4C">
            <w:pPr>
              <w:spacing w:line="276" w:lineRule="auto"/>
              <w:jc w:val="center"/>
              <w:rPr>
                <w:rFonts w:ascii="Arial" w:hAnsi="Arial" w:cs="Arial"/>
                <w:b/>
                <w:bCs/>
                <w:color w:val="000000" w:themeColor="text1"/>
                <w:sz w:val="24"/>
                <w:szCs w:val="24"/>
              </w:rPr>
            </w:pPr>
            <w:r w:rsidRPr="00B23534">
              <w:rPr>
                <w:rFonts w:ascii="Arial" w:hAnsi="Arial" w:cs="Arial"/>
                <w:b/>
                <w:bCs/>
                <w:color w:val="000000" w:themeColor="text1"/>
                <w:sz w:val="24"/>
                <w:szCs w:val="24"/>
              </w:rPr>
              <w:t xml:space="preserve">S naznakom: “Prijava na Javni poziv za dodjelu sredstava putem financiranja manifestacija i programa popularnog i zabavnog karaktera koje se provode od 1. </w:t>
            </w:r>
            <w:r w:rsidR="00D33729">
              <w:rPr>
                <w:rFonts w:ascii="Arial" w:hAnsi="Arial" w:cs="Arial"/>
                <w:b/>
                <w:bCs/>
                <w:color w:val="000000" w:themeColor="text1"/>
                <w:sz w:val="24"/>
                <w:szCs w:val="24"/>
              </w:rPr>
              <w:t>srpnja</w:t>
            </w:r>
            <w:r w:rsidRPr="00B23534">
              <w:rPr>
                <w:rFonts w:ascii="Arial" w:hAnsi="Arial" w:cs="Arial"/>
                <w:b/>
                <w:bCs/>
                <w:color w:val="000000" w:themeColor="text1"/>
                <w:sz w:val="24"/>
                <w:szCs w:val="24"/>
              </w:rPr>
              <w:t xml:space="preserve"> do 3</w:t>
            </w:r>
            <w:r w:rsidR="00D33729">
              <w:rPr>
                <w:rFonts w:ascii="Arial" w:hAnsi="Arial" w:cs="Arial"/>
                <w:b/>
                <w:bCs/>
                <w:color w:val="000000" w:themeColor="text1"/>
                <w:sz w:val="24"/>
                <w:szCs w:val="24"/>
              </w:rPr>
              <w:t>1</w:t>
            </w:r>
            <w:r w:rsidRPr="00B23534">
              <w:rPr>
                <w:rFonts w:ascii="Arial" w:hAnsi="Arial" w:cs="Arial"/>
                <w:b/>
                <w:bCs/>
                <w:color w:val="000000" w:themeColor="text1"/>
                <w:sz w:val="24"/>
                <w:szCs w:val="24"/>
              </w:rPr>
              <w:t xml:space="preserve">. </w:t>
            </w:r>
            <w:r w:rsidR="00D33729">
              <w:rPr>
                <w:rFonts w:ascii="Arial" w:hAnsi="Arial" w:cs="Arial"/>
                <w:b/>
                <w:bCs/>
                <w:color w:val="000000" w:themeColor="text1"/>
                <w:sz w:val="24"/>
                <w:szCs w:val="24"/>
              </w:rPr>
              <w:t>prosinca</w:t>
            </w:r>
            <w:r w:rsidRPr="00B23534">
              <w:rPr>
                <w:rFonts w:ascii="Arial" w:hAnsi="Arial" w:cs="Arial"/>
                <w:b/>
                <w:bCs/>
                <w:color w:val="000000" w:themeColor="text1"/>
                <w:sz w:val="24"/>
                <w:szCs w:val="24"/>
              </w:rPr>
              <w:t xml:space="preserve"> 2025. godine“</w:t>
            </w:r>
          </w:p>
          <w:p w:rsidR="000D5214" w:rsidRPr="00B23534" w:rsidRDefault="000D5214" w:rsidP="001D5E4C">
            <w:pPr>
              <w:spacing w:line="276" w:lineRule="auto"/>
              <w:jc w:val="center"/>
              <w:rPr>
                <w:rFonts w:ascii="Arial" w:hAnsi="Arial" w:cs="Arial"/>
                <w:b/>
                <w:bCs/>
                <w:color w:val="000000" w:themeColor="text1"/>
                <w:sz w:val="24"/>
                <w:szCs w:val="24"/>
              </w:rPr>
            </w:pPr>
            <w:r w:rsidRPr="00B23534">
              <w:rPr>
                <w:rFonts w:ascii="Arial" w:hAnsi="Arial" w:cs="Arial"/>
                <w:b/>
                <w:bCs/>
                <w:color w:val="000000" w:themeColor="text1"/>
                <w:sz w:val="24"/>
                <w:szCs w:val="24"/>
              </w:rPr>
              <w:t>Riva 10, 51000 Rijeka</w:t>
            </w:r>
          </w:p>
          <w:p w:rsidR="000D5214" w:rsidRPr="00B23534" w:rsidRDefault="000D5214" w:rsidP="001D5E4C">
            <w:pPr>
              <w:jc w:val="both"/>
              <w:rPr>
                <w:rFonts w:ascii="Arial" w:eastAsia="Calibri" w:hAnsi="Arial" w:cs="Arial"/>
                <w:color w:val="000000" w:themeColor="text1"/>
                <w:sz w:val="24"/>
                <w:szCs w:val="24"/>
              </w:rPr>
            </w:pPr>
          </w:p>
        </w:tc>
      </w:tr>
    </w:tbl>
    <w:p w:rsidR="000D5214" w:rsidRPr="00B23534" w:rsidRDefault="000D5214" w:rsidP="000D5214">
      <w:pPr>
        <w:widowControl w:val="0"/>
        <w:autoSpaceDE w:val="0"/>
        <w:autoSpaceDN w:val="0"/>
        <w:adjustRightInd w:val="0"/>
        <w:spacing w:after="0" w:line="240" w:lineRule="auto"/>
        <w:ind w:firstLine="708"/>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lastRenderedPageBreak/>
        <w:t>Svi propisani obrasci trebaju biti potpisani i ovjereni pečatom udruge i to od strane ovlaštene osobe podnositelja prijave i dostavljeni u izvorniku, u obliku propisanom uvjetima Javnog poziva koji su objavljeni u Uputama za prijavitelje.</w:t>
      </w:r>
    </w:p>
    <w:p w:rsidR="000D5214" w:rsidRPr="00B23534" w:rsidRDefault="000D5214" w:rsidP="000D5214">
      <w:pPr>
        <w:widowControl w:val="0"/>
        <w:autoSpaceDE w:val="0"/>
        <w:autoSpaceDN w:val="0"/>
        <w:adjustRightInd w:val="0"/>
        <w:spacing w:after="0" w:line="240" w:lineRule="auto"/>
        <w:jc w:val="both"/>
        <w:rPr>
          <w:rFonts w:ascii="Arial" w:eastAsia="Calibri" w:hAnsi="Arial" w:cs="Arial"/>
          <w:b/>
          <w:bCs/>
          <w:color w:val="000000" w:themeColor="text1"/>
          <w:sz w:val="24"/>
          <w:szCs w:val="24"/>
        </w:rPr>
      </w:pPr>
      <w:r w:rsidRPr="00B23534">
        <w:rPr>
          <w:rFonts w:ascii="Arial" w:eastAsia="Calibri" w:hAnsi="Arial" w:cs="Arial"/>
          <w:color w:val="000000" w:themeColor="text1"/>
          <w:sz w:val="24"/>
          <w:szCs w:val="24"/>
        </w:rPr>
        <w:t>Prijavu je moguće dostaviti i putem elektroničke pošte na adresu: javni.poziv.manifestacije@pgz.hr.</w:t>
      </w:r>
    </w:p>
    <w:p w:rsidR="000D5214" w:rsidRPr="00B23534" w:rsidRDefault="000D5214" w:rsidP="000D5214">
      <w:pPr>
        <w:widowControl w:val="0"/>
        <w:autoSpaceDE w:val="0"/>
        <w:autoSpaceDN w:val="0"/>
        <w:adjustRightInd w:val="0"/>
        <w:spacing w:after="0" w:line="240" w:lineRule="auto"/>
        <w:jc w:val="both"/>
        <w:rPr>
          <w:rFonts w:ascii="Arial" w:eastAsia="Calibri" w:hAnsi="Arial" w:cs="Arial"/>
          <w:color w:val="000000" w:themeColor="text1"/>
          <w:sz w:val="24"/>
          <w:szCs w:val="24"/>
        </w:rPr>
      </w:pPr>
      <w:r w:rsidRPr="00B23534">
        <w:rPr>
          <w:rFonts w:ascii="Arial" w:eastAsia="Calibri" w:hAnsi="Arial" w:cs="Arial"/>
          <w:b/>
          <w:bCs/>
          <w:color w:val="000000" w:themeColor="text1"/>
          <w:sz w:val="24"/>
          <w:szCs w:val="24"/>
        </w:rPr>
        <w:t>Napomena:</w:t>
      </w:r>
      <w:r w:rsidRPr="00B23534">
        <w:rPr>
          <w:rFonts w:ascii="Arial" w:eastAsia="Calibri" w:hAnsi="Arial" w:cs="Arial"/>
          <w:color w:val="000000" w:themeColor="text1"/>
          <w:sz w:val="24"/>
          <w:szCs w:val="24"/>
        </w:rPr>
        <w:t xml:space="preserve"> ako se prijava dostavlja putem elektroničke pošte potrebno je skenirati sve ispunjene, potpisane i ovjerene obrasce, potrebne potvrde, odnosno obveznu popratnu dokumentaciju. Cjelokupna dokumentacija treba biti sadržana u isključivo jednoj PDF datoteci. Veličina priložene datoteke ne smije prelaziti 20 MB.</w:t>
      </w:r>
    </w:p>
    <w:p w:rsidR="000D5214" w:rsidRPr="00B23534" w:rsidRDefault="000D5214" w:rsidP="000D5214">
      <w:pPr>
        <w:widowControl w:val="0"/>
        <w:autoSpaceDE w:val="0"/>
        <w:autoSpaceDN w:val="0"/>
        <w:adjustRightInd w:val="0"/>
        <w:spacing w:after="0" w:line="240" w:lineRule="auto"/>
        <w:ind w:hanging="426"/>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tab/>
      </w:r>
      <w:r w:rsidRPr="00B23534">
        <w:rPr>
          <w:rFonts w:ascii="Arial" w:eastAsia="Calibri" w:hAnsi="Arial" w:cs="Arial"/>
          <w:b/>
          <w:color w:val="000000" w:themeColor="text1"/>
          <w:sz w:val="24"/>
          <w:szCs w:val="24"/>
        </w:rPr>
        <w:t>Važno</w:t>
      </w:r>
      <w:r w:rsidRPr="00B23534">
        <w:rPr>
          <w:rFonts w:ascii="Arial" w:eastAsia="Calibri" w:hAnsi="Arial" w:cs="Arial"/>
          <w:color w:val="000000" w:themeColor="text1"/>
          <w:sz w:val="24"/>
          <w:szCs w:val="24"/>
        </w:rPr>
        <w:t xml:space="preserve">: </w:t>
      </w:r>
      <w:bookmarkStart w:id="6" w:name="_Hlk192176561"/>
      <w:r w:rsidRPr="00B23534">
        <w:rPr>
          <w:rFonts w:ascii="Arial" w:eastAsia="Calibri" w:hAnsi="Arial" w:cs="Arial"/>
          <w:color w:val="000000" w:themeColor="text1"/>
          <w:sz w:val="24"/>
          <w:szCs w:val="24"/>
        </w:rPr>
        <w:t xml:space="preserve">Kada se prijavna dokumentacije podnosi elektroničkim putem, davatelju financijskih sredstava obvezno se dostavlja i jedan potpisani i ovjereni primjerak prijave u papirnatom obliku i to u propisanom roku. Prijave koje budu dostavljene elektroničkim putem, a ne budu dostavljene i u papirnatom obliku smatrat će se da ne udovoljavaju formalnim uvjetima Javnog poziva te neće biti upućene Povjerenstvu za ocjenjivanje. </w:t>
      </w:r>
      <w:bookmarkEnd w:id="6"/>
    </w:p>
    <w:p w:rsidR="000D5214" w:rsidRPr="00B23534" w:rsidRDefault="000D5214" w:rsidP="000D5214">
      <w:pPr>
        <w:widowControl w:val="0"/>
        <w:autoSpaceDE w:val="0"/>
        <w:autoSpaceDN w:val="0"/>
        <w:adjustRightInd w:val="0"/>
        <w:spacing w:after="0" w:line="240" w:lineRule="auto"/>
        <w:ind w:left="425" w:hanging="426"/>
        <w:jc w:val="both"/>
        <w:rPr>
          <w:rFonts w:ascii="Arial" w:eastAsia="Calibri" w:hAnsi="Arial" w:cs="Arial"/>
          <w:color w:val="000000" w:themeColor="text1"/>
          <w:sz w:val="12"/>
          <w:szCs w:val="12"/>
        </w:rPr>
      </w:pP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bookmarkStart w:id="7" w:name="_Hlk189410122"/>
            <w:r w:rsidRPr="00B23534">
              <w:rPr>
                <w:rFonts w:ascii="Arial" w:hAnsi="Arial" w:cs="Arial"/>
                <w:color w:val="000000" w:themeColor="text1"/>
                <w:sz w:val="24"/>
                <w:szCs w:val="24"/>
              </w:rPr>
              <w:t>XII</w:t>
            </w:r>
          </w:p>
        </w:tc>
      </w:tr>
    </w:tbl>
    <w:bookmarkEnd w:id="7"/>
    <w:p w:rsidR="000D5214" w:rsidRPr="00B23534" w:rsidRDefault="000D5214" w:rsidP="000D5214">
      <w:pPr>
        <w:spacing w:line="240" w:lineRule="auto"/>
        <w:ind w:firstLine="426"/>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t>Ciljevi, postupak dodjele financijskih sredstava, uvjeti i kriteriji za dodjelu financijskih sredstava, postupak objave rezultata, postupak podnošenja prigovora, postupanje s prijavama nakon provedbe javnog poziva, postupak ugovaranja odobrenih sredstava, način korištenja odobrenih sredstava, način izvještavanja te praćenja korištenja sredstva detaljno su propisani u</w:t>
      </w:r>
      <w:r w:rsidRPr="00B23534">
        <w:rPr>
          <w:rFonts w:ascii="Arial" w:hAnsi="Arial" w:cs="Arial"/>
          <w:color w:val="000000" w:themeColor="text1"/>
        </w:rPr>
        <w:t xml:space="preserve"> </w:t>
      </w:r>
      <w:r w:rsidRPr="00A83015">
        <w:rPr>
          <w:rFonts w:ascii="Arial" w:eastAsia="Calibri" w:hAnsi="Arial" w:cs="Arial"/>
          <w:color w:val="000000" w:themeColor="text1"/>
          <w:sz w:val="24"/>
          <w:szCs w:val="24"/>
        </w:rPr>
        <w:t>Dokumentaciji</w:t>
      </w:r>
      <w:r w:rsidRPr="00B23534">
        <w:rPr>
          <w:rFonts w:ascii="Arial" w:eastAsia="Calibri" w:hAnsi="Arial" w:cs="Arial"/>
          <w:color w:val="000000" w:themeColor="text1"/>
          <w:sz w:val="24"/>
          <w:szCs w:val="24"/>
        </w:rPr>
        <w:t xml:space="preserve"> za provedbu javnog poziva.</w:t>
      </w: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r w:rsidRPr="00B23534">
              <w:rPr>
                <w:rFonts w:ascii="Arial" w:hAnsi="Arial" w:cs="Arial"/>
                <w:color w:val="000000" w:themeColor="text1"/>
                <w:sz w:val="24"/>
                <w:szCs w:val="24"/>
              </w:rPr>
              <w:t>XIII</w:t>
            </w:r>
          </w:p>
        </w:tc>
      </w:tr>
    </w:tbl>
    <w:p w:rsidR="000D5214" w:rsidRPr="00B23534" w:rsidRDefault="000D5214" w:rsidP="000D5214">
      <w:pPr>
        <w:spacing w:line="240" w:lineRule="auto"/>
        <w:ind w:firstLine="426"/>
        <w:contextualSpacing/>
        <w:jc w:val="both"/>
        <w:rPr>
          <w:rFonts w:ascii="Arial" w:eastAsia="Calibri" w:hAnsi="Arial" w:cs="Arial"/>
          <w:color w:val="000000" w:themeColor="text1"/>
          <w:sz w:val="24"/>
          <w:szCs w:val="24"/>
        </w:rPr>
      </w:pPr>
    </w:p>
    <w:p w:rsidR="000D5214" w:rsidRPr="00B23534" w:rsidRDefault="000D5214" w:rsidP="000D5214">
      <w:pPr>
        <w:spacing w:line="240" w:lineRule="auto"/>
        <w:ind w:firstLine="426"/>
        <w:contextualSpacing/>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t>Prijavitelj kojem se dodijele sredstva potpisuje ugovor o sufinanciranju manifestacije ili programa. Obveza je Prijavitelja da strogo namjenski i racionalno troši dodijeljena sredstva. Prijavitelj se obvezuje nakon završetka manifestacije ili programa pravovremeno dostaviti detaljno izvješće o utrošenim sredstvima.</w:t>
      </w: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b w:val="0"/>
                <w:bCs w:val="0"/>
                <w:color w:val="000000" w:themeColor="text1"/>
                <w:sz w:val="24"/>
                <w:szCs w:val="24"/>
              </w:rPr>
            </w:pPr>
            <w:r w:rsidRPr="00B23534">
              <w:rPr>
                <w:rFonts w:ascii="Arial" w:hAnsi="Arial" w:cs="Arial"/>
                <w:color w:val="000000" w:themeColor="text1"/>
                <w:sz w:val="24"/>
                <w:szCs w:val="24"/>
              </w:rPr>
              <w:t>XIV</w:t>
            </w:r>
          </w:p>
          <w:p w:rsidR="000D5214" w:rsidRPr="00B23534" w:rsidRDefault="000D5214" w:rsidP="001D5E4C">
            <w:pPr>
              <w:pStyle w:val="ListParagraph"/>
              <w:spacing w:after="120"/>
              <w:ind w:left="0"/>
              <w:outlineLvl w:val="0"/>
              <w:rPr>
                <w:rFonts w:ascii="Arial" w:hAnsi="Arial" w:cs="Arial"/>
                <w:color w:val="000000" w:themeColor="text1"/>
                <w:sz w:val="24"/>
                <w:szCs w:val="24"/>
              </w:rPr>
            </w:pPr>
          </w:p>
        </w:tc>
      </w:tr>
    </w:tbl>
    <w:p w:rsidR="000D5214" w:rsidRPr="00B23534" w:rsidRDefault="000D5214" w:rsidP="000D5214">
      <w:pPr>
        <w:spacing w:line="240" w:lineRule="auto"/>
        <w:contextualSpacing/>
        <w:jc w:val="both"/>
        <w:rPr>
          <w:rFonts w:ascii="Arial" w:eastAsia="Calibri" w:hAnsi="Arial" w:cs="Arial"/>
          <w:color w:val="000000" w:themeColor="text1"/>
          <w:sz w:val="24"/>
          <w:szCs w:val="24"/>
        </w:rPr>
      </w:pPr>
    </w:p>
    <w:p w:rsidR="000D5214" w:rsidRPr="00B23534" w:rsidRDefault="000D5214" w:rsidP="000D5214">
      <w:pPr>
        <w:spacing w:line="240" w:lineRule="auto"/>
        <w:ind w:firstLine="708"/>
        <w:contextualSpacing/>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t>Prijavitelj će poduzeti sve potrebne mjere u svrhu izbjegavanja sukoba interesa pri korištenju odobrenih sredstava i bez odgode će obavijestiti davatelja financijskih sredstava o svim situacijama koje predstavljaju ili koje bi mogle dovesti do takvog sukoba.</w:t>
      </w:r>
    </w:p>
    <w:p w:rsidR="000D5214" w:rsidRPr="00B23534" w:rsidRDefault="000D5214" w:rsidP="000D5214">
      <w:pPr>
        <w:spacing w:line="240" w:lineRule="auto"/>
        <w:ind w:firstLine="708"/>
        <w:contextualSpacing/>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t xml:space="preserve">Također, osobe koje od strane davatelja financijskih sredstava odlučuju o dodjeli financijskih sredstava odnosno koje sudjeluju u radu povjerenstva za otvaranje prijava pristiglih na Javni poziv i koje ocjenjuju programe ili projekte koji su ispunili sve propisane uvjete poziva moraju biti upoznate s popisom udruga koje su se prijavile na Javni poziv. Nakon toga te osobe potpisuju izjavu o nepristranosti i povjerljivosti kojom potvrđuju da se niti one niti članovi njihove obitelji ne nalaze u sukobu interesa. </w:t>
      </w:r>
    </w:p>
    <w:p w:rsidR="000D5214" w:rsidRPr="00B23534" w:rsidRDefault="000D5214" w:rsidP="000D5214">
      <w:pPr>
        <w:spacing w:line="240" w:lineRule="auto"/>
        <w:ind w:firstLine="708"/>
        <w:contextualSpacing/>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t>Sukob interesa postoji kada je nepristrano izvršenje ugovornih obveza bilo koje osobe vezane ugovorom ugroženo zbog prilike da ta osoba svojom odlukom ili drugim djelovanjem pogoduje sebi ili sebi bliskim osobama,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0D5214" w:rsidRPr="00B23534" w:rsidRDefault="000D5214" w:rsidP="000D5214">
      <w:pPr>
        <w:spacing w:line="240" w:lineRule="auto"/>
        <w:contextualSpacing/>
        <w:jc w:val="both"/>
        <w:rPr>
          <w:rFonts w:ascii="Arial" w:eastAsia="Calibri" w:hAnsi="Arial" w:cs="Arial"/>
          <w:color w:val="000000" w:themeColor="text1"/>
          <w:sz w:val="24"/>
          <w:szCs w:val="24"/>
        </w:rPr>
      </w:pP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r w:rsidRPr="00B23534">
              <w:rPr>
                <w:rFonts w:ascii="Arial" w:hAnsi="Arial" w:cs="Arial"/>
                <w:color w:val="000000" w:themeColor="text1"/>
                <w:sz w:val="24"/>
                <w:szCs w:val="24"/>
              </w:rPr>
              <w:lastRenderedPageBreak/>
              <w:t>XV</w:t>
            </w:r>
          </w:p>
        </w:tc>
      </w:tr>
    </w:tbl>
    <w:p w:rsidR="000D5214" w:rsidRPr="00B23534" w:rsidRDefault="000D5214" w:rsidP="000D5214">
      <w:pPr>
        <w:spacing w:line="240" w:lineRule="auto"/>
        <w:contextualSpacing/>
        <w:jc w:val="both"/>
        <w:rPr>
          <w:rFonts w:ascii="Arial" w:eastAsia="Calibri" w:hAnsi="Arial" w:cs="Arial"/>
          <w:color w:val="000000" w:themeColor="text1"/>
          <w:sz w:val="24"/>
          <w:szCs w:val="24"/>
        </w:rPr>
      </w:pPr>
    </w:p>
    <w:p w:rsidR="000D5214" w:rsidRPr="00B23534" w:rsidRDefault="000D5214" w:rsidP="000D5214">
      <w:pPr>
        <w:spacing w:line="240" w:lineRule="auto"/>
        <w:ind w:firstLine="708"/>
        <w:contextualSpacing/>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t>Pitanja vezana uz provedbu Javnog poziva potencijalni prijavitelji mogu postaviti pisanim putem, na adresu elektroničke pošte: javni.poziv.manifestacij</w:t>
      </w:r>
      <w:r w:rsidR="00B71198">
        <w:rPr>
          <w:rFonts w:ascii="Arial" w:eastAsia="Calibri" w:hAnsi="Arial" w:cs="Arial"/>
          <w:color w:val="000000" w:themeColor="text1"/>
          <w:sz w:val="24"/>
          <w:szCs w:val="24"/>
        </w:rPr>
        <w:t xml:space="preserve">e@pgz.hr i to do isteka </w:t>
      </w:r>
      <w:r w:rsidRPr="00B23534">
        <w:rPr>
          <w:rFonts w:ascii="Arial" w:eastAsia="Calibri" w:hAnsi="Arial" w:cs="Arial"/>
          <w:color w:val="000000" w:themeColor="text1"/>
          <w:sz w:val="24"/>
          <w:szCs w:val="24"/>
        </w:rPr>
        <w:t>petnaestog</w:t>
      </w:r>
      <w:r w:rsidR="00B71198">
        <w:rPr>
          <w:rFonts w:ascii="Arial" w:eastAsia="Calibri" w:hAnsi="Arial" w:cs="Arial"/>
          <w:color w:val="000000" w:themeColor="text1"/>
          <w:sz w:val="24"/>
          <w:szCs w:val="24"/>
        </w:rPr>
        <w:t xml:space="preserve"> (15.-og)</w:t>
      </w:r>
      <w:r w:rsidRPr="00B23534">
        <w:rPr>
          <w:rFonts w:ascii="Arial" w:eastAsia="Calibri" w:hAnsi="Arial" w:cs="Arial"/>
          <w:color w:val="000000" w:themeColor="text1"/>
          <w:sz w:val="24"/>
          <w:szCs w:val="24"/>
        </w:rPr>
        <w:t xml:space="preserve"> dana računajući od dana objave Javnog poziva. </w:t>
      </w:r>
    </w:p>
    <w:p w:rsidR="000D5214" w:rsidRPr="00B23534" w:rsidRDefault="000D5214" w:rsidP="000D5214">
      <w:pPr>
        <w:spacing w:line="240" w:lineRule="auto"/>
        <w:ind w:firstLine="708"/>
        <w:contextualSpacing/>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t>Na postavljena pitanja odgovorit će se najkasnije sedam (7) dana prije isteka roka za podnošenje prijava na Javni poziv, a odgovori će se javno objaviti na mrežnoj stranici Primorsko-goranske županije (www.pgz.hr) na kojoj je i objavljen Javni poziv, ne navodeći identifikacijske podatke o potencijalnim prijaviteljima.</w:t>
      </w:r>
    </w:p>
    <w:p w:rsidR="000D5214" w:rsidRPr="00B23534" w:rsidRDefault="000D5214" w:rsidP="000D5214">
      <w:pPr>
        <w:spacing w:line="240" w:lineRule="auto"/>
        <w:ind w:firstLine="708"/>
        <w:contextualSpacing/>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t>U svrhu osiguravanja ravnopravnosti svih potencijalnih prijavitelja Upravni odjel za kulturu, sport i tehničku kulturu Primorsko-goranske županije ne može davati prethodna mišljenja o prihvatljivosti prijavitelja, partnera, aktivnosti ili troškova navedenih u prijavi.</w:t>
      </w:r>
    </w:p>
    <w:tbl>
      <w:tblPr>
        <w:tblStyle w:val="GridTable4-Accent1"/>
        <w:tblW w:w="0" w:type="auto"/>
        <w:jc w:val="center"/>
        <w:tblLook w:val="04A0" w:firstRow="1" w:lastRow="0" w:firstColumn="1" w:lastColumn="0" w:noHBand="0" w:noVBand="1"/>
      </w:tblPr>
      <w:tblGrid>
        <w:gridCol w:w="9062"/>
      </w:tblGrid>
      <w:tr w:rsidR="000D5214" w:rsidRPr="00B23534" w:rsidTr="001D5E4C">
        <w:trPr>
          <w:cnfStyle w:val="100000000000" w:firstRow="1" w:lastRow="0" w:firstColumn="0" w:lastColumn="0" w:oddVBand="0" w:evenVBand="0" w:oddHBand="0" w:evenHBand="0" w:firstRowFirstColumn="0" w:firstRowLastColumn="0" w:lastRowFirstColumn="0" w:lastRowLastColumn="0"/>
          <w:cantSplit/>
          <w:trHeight w:hRule="exact" w:val="397"/>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DEEAF6" w:themeFill="accent1" w:themeFillTint="33"/>
          </w:tcPr>
          <w:p w:rsidR="000D5214" w:rsidRPr="00B23534" w:rsidRDefault="000D5214" w:rsidP="001D5E4C">
            <w:pPr>
              <w:pStyle w:val="ListParagraph"/>
              <w:spacing w:after="120"/>
              <w:ind w:left="0"/>
              <w:jc w:val="center"/>
              <w:outlineLvl w:val="0"/>
              <w:rPr>
                <w:rFonts w:ascii="Arial" w:hAnsi="Arial" w:cs="Arial"/>
                <w:color w:val="000000" w:themeColor="text1"/>
                <w:sz w:val="24"/>
                <w:szCs w:val="24"/>
              </w:rPr>
            </w:pPr>
            <w:r w:rsidRPr="00B23534">
              <w:rPr>
                <w:rFonts w:ascii="Arial" w:hAnsi="Arial" w:cs="Arial"/>
                <w:color w:val="000000" w:themeColor="text1"/>
                <w:sz w:val="24"/>
                <w:szCs w:val="24"/>
              </w:rPr>
              <w:t>XVI</w:t>
            </w:r>
          </w:p>
        </w:tc>
      </w:tr>
    </w:tbl>
    <w:p w:rsidR="000D5214" w:rsidRPr="00B23534" w:rsidRDefault="000D5214" w:rsidP="000D5214">
      <w:pPr>
        <w:spacing w:line="240" w:lineRule="auto"/>
        <w:ind w:firstLine="66"/>
        <w:contextualSpacing/>
        <w:jc w:val="both"/>
        <w:rPr>
          <w:rFonts w:ascii="Arial" w:eastAsia="Calibri" w:hAnsi="Arial" w:cs="Arial"/>
          <w:color w:val="000000" w:themeColor="text1"/>
          <w:sz w:val="24"/>
          <w:szCs w:val="24"/>
        </w:rPr>
      </w:pPr>
    </w:p>
    <w:p w:rsidR="000D5214" w:rsidRPr="00B23534" w:rsidRDefault="000D5214" w:rsidP="000D5214">
      <w:pPr>
        <w:spacing w:line="240" w:lineRule="auto"/>
        <w:ind w:firstLine="708"/>
        <w:jc w:val="both"/>
        <w:rPr>
          <w:rFonts w:ascii="Arial" w:eastAsia="Calibri" w:hAnsi="Arial" w:cs="Arial"/>
          <w:color w:val="000000" w:themeColor="text1"/>
          <w:sz w:val="24"/>
          <w:szCs w:val="24"/>
        </w:rPr>
      </w:pPr>
      <w:r w:rsidRPr="00B23534">
        <w:rPr>
          <w:rFonts w:ascii="Arial" w:eastAsia="Calibri" w:hAnsi="Arial" w:cs="Arial"/>
          <w:color w:val="000000" w:themeColor="text1"/>
          <w:sz w:val="24"/>
          <w:szCs w:val="24"/>
        </w:rPr>
        <w:t>Rezultati Javnog poziva bit će objavljeni na mrežnoj stranici Primorsko-goranske županije (</w:t>
      </w:r>
      <w:hyperlink r:id="rId4" w:history="1">
        <w:r w:rsidRPr="00B23534">
          <w:rPr>
            <w:rStyle w:val="Hyperlink"/>
            <w:rFonts w:ascii="Arial" w:eastAsia="Calibri" w:hAnsi="Arial" w:cs="Arial"/>
            <w:sz w:val="24"/>
            <w:szCs w:val="24"/>
          </w:rPr>
          <w:t>www.pgz.hr</w:t>
        </w:r>
      </w:hyperlink>
      <w:r w:rsidRPr="00B23534">
        <w:rPr>
          <w:rFonts w:ascii="Arial" w:eastAsia="Calibri" w:hAnsi="Arial" w:cs="Arial"/>
          <w:color w:val="000000" w:themeColor="text1"/>
          <w:sz w:val="24"/>
          <w:szCs w:val="24"/>
        </w:rPr>
        <w:t xml:space="preserve">) po donošenju Odluke o dodjeli financijskih sredstava od strane Župana, </w:t>
      </w:r>
      <w:r w:rsidRPr="00A83015">
        <w:rPr>
          <w:rFonts w:ascii="Arial" w:eastAsia="Calibri" w:hAnsi="Arial" w:cs="Arial"/>
          <w:color w:val="000000" w:themeColor="text1"/>
          <w:sz w:val="24"/>
          <w:szCs w:val="24"/>
        </w:rPr>
        <w:t>a najkasnije u roku od osam (8) dana od donošenja iste</w:t>
      </w:r>
      <w:r w:rsidRPr="00B23534">
        <w:rPr>
          <w:rFonts w:ascii="Arial" w:eastAsia="Calibri" w:hAnsi="Arial" w:cs="Arial"/>
          <w:color w:val="000000" w:themeColor="text1"/>
          <w:sz w:val="24"/>
          <w:szCs w:val="24"/>
        </w:rPr>
        <w:t>.</w:t>
      </w:r>
    </w:p>
    <w:p w:rsidR="00FD1378" w:rsidRDefault="00A12408"/>
    <w:sectPr w:rsidR="00FD1378" w:rsidSect="000D5214">
      <w:pgSz w:w="11906" w:h="16838"/>
      <w:pgMar w:top="15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14"/>
    <w:rsid w:val="000D5214"/>
    <w:rsid w:val="000F1C24"/>
    <w:rsid w:val="0016420E"/>
    <w:rsid w:val="003E0C33"/>
    <w:rsid w:val="004C3F78"/>
    <w:rsid w:val="004F7136"/>
    <w:rsid w:val="0061396B"/>
    <w:rsid w:val="007F1612"/>
    <w:rsid w:val="00A12408"/>
    <w:rsid w:val="00A15D11"/>
    <w:rsid w:val="00B71198"/>
    <w:rsid w:val="00BB59C3"/>
    <w:rsid w:val="00D33729"/>
    <w:rsid w:val="00DC040F"/>
    <w:rsid w:val="00DF0F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6B76"/>
  <w15:chartTrackingRefBased/>
  <w15:docId w15:val="{DBC30513-3ED0-40EF-BCB2-00730F1E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21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214"/>
    <w:pPr>
      <w:ind w:left="720"/>
      <w:contextualSpacing/>
    </w:pPr>
  </w:style>
  <w:style w:type="character" w:styleId="Hyperlink">
    <w:name w:val="Hyperlink"/>
    <w:basedOn w:val="DefaultParagraphFont"/>
    <w:uiPriority w:val="99"/>
    <w:unhideWhenUsed/>
    <w:rsid w:val="000D5214"/>
    <w:rPr>
      <w:color w:val="0563C1" w:themeColor="hyperlink"/>
      <w:u w:val="single"/>
    </w:rPr>
  </w:style>
  <w:style w:type="paragraph" w:customStyle="1" w:styleId="Default">
    <w:name w:val="Default"/>
    <w:rsid w:val="000D5214"/>
    <w:pPr>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39"/>
    <w:rsid w:val="000D5214"/>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D5214"/>
    <w:pPr>
      <w:spacing w:before="100" w:after="0" w:line="240" w:lineRule="auto"/>
    </w:pPr>
    <w:rPr>
      <w:rFonts w:eastAsiaTheme="minorEastAsia"/>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g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Begić Zulian</dc:creator>
  <cp:keywords/>
  <dc:description/>
  <cp:lastModifiedBy>Gjozefina Anić</cp:lastModifiedBy>
  <cp:revision>9</cp:revision>
  <dcterms:created xsi:type="dcterms:W3CDTF">2025-03-26T14:10:00Z</dcterms:created>
  <dcterms:modified xsi:type="dcterms:W3CDTF">2025-09-05T06:44:00Z</dcterms:modified>
</cp:coreProperties>
</file>