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9436" w14:textId="77777777" w:rsidR="0062035C" w:rsidRPr="00A17749" w:rsidRDefault="0062035C" w:rsidP="00BB3450">
      <w:pPr>
        <w:pStyle w:val="BodyText2"/>
        <w:spacing w:line="240" w:lineRule="auto"/>
        <w:rPr>
          <w:rFonts w:ascii="Arial" w:hAnsi="Arial" w:cs="Arial"/>
          <w:szCs w:val="24"/>
          <w:lang w:val="hr-HR"/>
        </w:rPr>
      </w:pPr>
      <w:r w:rsidRPr="00A17749">
        <w:rPr>
          <w:rFonts w:ascii="Arial" w:hAnsi="Arial" w:cs="Arial"/>
          <w:b/>
          <w:szCs w:val="24"/>
          <w:lang w:val="hr-HR"/>
        </w:rPr>
        <w:t>Primorsko-goranska županija</w:t>
      </w:r>
      <w:r w:rsidRPr="00A17749">
        <w:rPr>
          <w:rFonts w:ascii="Arial" w:hAnsi="Arial" w:cs="Arial"/>
          <w:szCs w:val="24"/>
          <w:lang w:val="hr-HR"/>
        </w:rPr>
        <w:t>, Adamićeva 10, Rijeka,</w:t>
      </w:r>
      <w:r w:rsidR="00057196" w:rsidRPr="00A17749">
        <w:rPr>
          <w:szCs w:val="24"/>
        </w:rPr>
        <w:t xml:space="preserve"> </w:t>
      </w:r>
      <w:r w:rsidR="00057196" w:rsidRPr="00A17749">
        <w:rPr>
          <w:rFonts w:ascii="Arial" w:hAnsi="Arial" w:cs="Arial"/>
          <w:szCs w:val="24"/>
          <w:lang w:val="hr-HR"/>
        </w:rPr>
        <w:t>OIB: 32420472134,</w:t>
      </w:r>
      <w:r w:rsidRPr="00A17749">
        <w:rPr>
          <w:rFonts w:ascii="Arial" w:hAnsi="Arial" w:cs="Arial"/>
          <w:szCs w:val="24"/>
          <w:lang w:val="hr-HR"/>
        </w:rPr>
        <w:t xml:space="preserve"> zastupana po </w:t>
      </w:r>
      <w:r w:rsidR="00BB3450" w:rsidRPr="00A17749">
        <w:rPr>
          <w:rFonts w:ascii="Arial" w:hAnsi="Arial" w:cs="Arial"/>
          <w:szCs w:val="24"/>
          <w:lang w:val="hr-HR"/>
        </w:rPr>
        <w:t>ž</w:t>
      </w:r>
      <w:r w:rsidR="00180618" w:rsidRPr="00A17749">
        <w:rPr>
          <w:rFonts w:ascii="Arial" w:hAnsi="Arial" w:cs="Arial"/>
          <w:szCs w:val="24"/>
          <w:lang w:val="hr-HR"/>
        </w:rPr>
        <w:t>upanu</w:t>
      </w:r>
      <w:r w:rsidRPr="00A17749">
        <w:rPr>
          <w:rFonts w:ascii="Arial" w:hAnsi="Arial" w:cs="Arial"/>
          <w:szCs w:val="24"/>
          <w:lang w:val="hr-HR"/>
        </w:rPr>
        <w:t xml:space="preserve"> </w:t>
      </w:r>
      <w:r w:rsidR="00180618" w:rsidRPr="00A17749">
        <w:rPr>
          <w:rFonts w:ascii="Arial" w:hAnsi="Arial" w:cs="Arial"/>
          <w:szCs w:val="24"/>
          <w:lang w:val="hr-HR"/>
        </w:rPr>
        <w:t>Zlatku Komadini, dipl. ing.</w:t>
      </w:r>
      <w:r w:rsidRPr="00A17749">
        <w:rPr>
          <w:rFonts w:ascii="Arial" w:hAnsi="Arial" w:cs="Arial"/>
          <w:szCs w:val="24"/>
          <w:lang w:val="hr-HR"/>
        </w:rPr>
        <w:t xml:space="preserve">, s jedne strane </w:t>
      </w:r>
    </w:p>
    <w:p w14:paraId="587897EF" w14:textId="77777777" w:rsidR="00364AEB" w:rsidRPr="00A17749" w:rsidRDefault="00364AEB" w:rsidP="00BB3450">
      <w:pPr>
        <w:spacing w:after="120"/>
        <w:jc w:val="left"/>
        <w:rPr>
          <w:rFonts w:ascii="Arial" w:hAnsi="Arial" w:cs="Arial"/>
          <w:szCs w:val="24"/>
          <w:lang w:val="hr-HR"/>
        </w:rPr>
      </w:pPr>
      <w:r w:rsidRPr="00A17749">
        <w:rPr>
          <w:rFonts w:ascii="Arial" w:hAnsi="Arial" w:cs="Arial"/>
          <w:szCs w:val="24"/>
          <w:lang w:val="hr-HR"/>
        </w:rPr>
        <w:t>i</w:t>
      </w:r>
    </w:p>
    <w:p w14:paraId="25698E22" w14:textId="12C08ACE" w:rsidR="00BB3450" w:rsidRPr="00A17749" w:rsidRDefault="00427354" w:rsidP="00BB3450">
      <w:pPr>
        <w:rPr>
          <w:rFonts w:ascii="Arial" w:hAnsi="Arial" w:cs="Arial"/>
          <w:szCs w:val="24"/>
          <w:lang w:val="hr-HR"/>
        </w:rPr>
      </w:pPr>
      <w:r w:rsidRPr="00427354">
        <w:rPr>
          <w:rFonts w:ascii="Arial" w:hAnsi="Arial" w:cs="Arial"/>
          <w:b/>
          <w:i/>
          <w:szCs w:val="24"/>
          <w:u w:val="single"/>
          <w:lang w:val="hr-HR"/>
        </w:rPr>
        <w:t>Korisnik</w:t>
      </w:r>
      <w:r w:rsidR="00ED24AA" w:rsidRPr="00A17749">
        <w:rPr>
          <w:rFonts w:ascii="Arial" w:hAnsi="Arial" w:cs="Arial"/>
          <w:szCs w:val="24"/>
          <w:lang w:val="hr-HR"/>
        </w:rPr>
        <w:t>,</w:t>
      </w:r>
      <w:r w:rsidR="00685469" w:rsidRPr="00A17749">
        <w:rPr>
          <w:rFonts w:ascii="Arial" w:hAnsi="Arial" w:cs="Arial"/>
          <w:szCs w:val="24"/>
          <w:lang w:val="hr-HR"/>
        </w:rPr>
        <w:t xml:space="preserve"> </w:t>
      </w:r>
      <w:r w:rsidRPr="00427354">
        <w:rPr>
          <w:rFonts w:ascii="Arial" w:hAnsi="Arial" w:cs="Arial"/>
          <w:i/>
          <w:szCs w:val="24"/>
          <w:u w:val="single"/>
          <w:lang w:val="hr-HR"/>
        </w:rPr>
        <w:t>adresa</w:t>
      </w:r>
      <w:r w:rsidR="00CF59FC">
        <w:rPr>
          <w:rFonts w:ascii="Arial" w:hAnsi="Arial" w:cs="Arial"/>
          <w:szCs w:val="24"/>
          <w:lang w:val="hr-HR"/>
        </w:rPr>
        <w:t>,</w:t>
      </w:r>
      <w:r w:rsidR="00A706A0" w:rsidRPr="00A17749">
        <w:rPr>
          <w:rFonts w:ascii="Arial" w:hAnsi="Arial" w:cs="Arial"/>
          <w:szCs w:val="24"/>
          <w:lang w:val="hr-HR"/>
        </w:rPr>
        <w:t xml:space="preserve"> </w:t>
      </w:r>
      <w:r w:rsidRPr="00427354">
        <w:rPr>
          <w:rFonts w:ascii="Arial" w:hAnsi="Arial" w:cs="Arial"/>
          <w:i/>
          <w:szCs w:val="24"/>
          <w:u w:val="single"/>
          <w:lang w:val="hr-HR"/>
        </w:rPr>
        <w:t>grad/općina</w:t>
      </w:r>
      <w:r w:rsidR="00364AEB" w:rsidRPr="00A17749">
        <w:rPr>
          <w:rFonts w:ascii="Arial" w:hAnsi="Arial" w:cs="Arial"/>
          <w:szCs w:val="24"/>
          <w:lang w:val="hr-HR"/>
        </w:rPr>
        <w:t>,</w:t>
      </w:r>
      <w:r w:rsidR="00057196" w:rsidRPr="00A17749">
        <w:rPr>
          <w:rFonts w:ascii="Arial" w:hAnsi="Arial" w:cs="Arial"/>
          <w:szCs w:val="24"/>
          <w:lang w:val="hr-HR"/>
        </w:rPr>
        <w:t xml:space="preserve"> OIB: </w:t>
      </w:r>
      <w:r>
        <w:rPr>
          <w:rFonts w:ascii="Arial" w:hAnsi="Arial" w:cs="Arial"/>
          <w:szCs w:val="24"/>
          <w:lang w:val="hr-HR"/>
        </w:rPr>
        <w:t>________</w:t>
      </w:r>
      <w:r w:rsidR="00364AEB" w:rsidRPr="00A17749">
        <w:rPr>
          <w:rFonts w:ascii="Arial" w:hAnsi="Arial" w:cs="Arial"/>
          <w:szCs w:val="24"/>
          <w:lang w:val="hr-HR"/>
        </w:rPr>
        <w:t>,</w:t>
      </w:r>
      <w:r w:rsidR="00685469" w:rsidRPr="00A17749">
        <w:rPr>
          <w:rFonts w:ascii="Arial" w:hAnsi="Arial" w:cs="Arial"/>
          <w:szCs w:val="24"/>
          <w:lang w:val="hr-HR"/>
        </w:rPr>
        <w:t xml:space="preserve"> zastupan po</w:t>
      </w:r>
      <w:r w:rsidR="00D20E0D" w:rsidRPr="00A17749">
        <w:rPr>
          <w:rFonts w:ascii="Arial" w:hAnsi="Arial" w:cs="Arial"/>
          <w:szCs w:val="24"/>
          <w:lang w:val="hr-HR"/>
        </w:rPr>
        <w:t xml:space="preserve"> </w:t>
      </w:r>
      <w:r w:rsidRPr="00427354">
        <w:rPr>
          <w:rFonts w:ascii="Arial" w:hAnsi="Arial" w:cs="Arial"/>
          <w:i/>
          <w:szCs w:val="24"/>
          <w:u w:val="single"/>
          <w:lang w:val="hr-HR"/>
        </w:rPr>
        <w:t>ime i prezime ovlaštene osobe</w:t>
      </w:r>
      <w:r w:rsidR="008832F8" w:rsidRPr="00427354">
        <w:rPr>
          <w:rFonts w:ascii="Arial" w:hAnsi="Arial" w:cs="Arial"/>
          <w:i/>
          <w:szCs w:val="24"/>
          <w:u w:val="single"/>
          <w:lang w:val="hr-HR"/>
        </w:rPr>
        <w:t>,</w:t>
      </w:r>
      <w:r w:rsidR="00364AEB" w:rsidRPr="00A17749">
        <w:rPr>
          <w:rFonts w:ascii="Arial" w:hAnsi="Arial" w:cs="Arial"/>
          <w:szCs w:val="24"/>
          <w:lang w:val="hr-HR"/>
        </w:rPr>
        <w:t xml:space="preserve"> s druge strane, </w:t>
      </w:r>
    </w:p>
    <w:p w14:paraId="5D7E6DD0" w14:textId="495386E4" w:rsidR="00AF2082" w:rsidRPr="00A17749" w:rsidRDefault="00364AEB" w:rsidP="00364AEB">
      <w:pPr>
        <w:rPr>
          <w:rFonts w:ascii="Arial" w:hAnsi="Arial" w:cs="Arial"/>
          <w:szCs w:val="24"/>
          <w:lang w:val="hr-HR"/>
        </w:rPr>
      </w:pPr>
      <w:r w:rsidRPr="00A17749">
        <w:rPr>
          <w:rFonts w:ascii="Arial" w:hAnsi="Arial" w:cs="Arial"/>
          <w:szCs w:val="24"/>
          <w:lang w:val="hr-HR"/>
        </w:rPr>
        <w:t>zaključili su</w:t>
      </w:r>
      <w:r w:rsidR="00AA66E7" w:rsidRPr="00A17749">
        <w:rPr>
          <w:rFonts w:ascii="Arial" w:hAnsi="Arial" w:cs="Arial"/>
          <w:szCs w:val="24"/>
          <w:lang w:val="hr-HR"/>
        </w:rPr>
        <w:t xml:space="preserve"> u</w:t>
      </w:r>
      <w:r w:rsidRPr="00A17749">
        <w:rPr>
          <w:rFonts w:ascii="Arial" w:hAnsi="Arial" w:cs="Arial"/>
          <w:szCs w:val="24"/>
          <w:lang w:val="hr-HR"/>
        </w:rPr>
        <w:t xml:space="preserve"> </w:t>
      </w:r>
      <w:r w:rsidR="00BB3450" w:rsidRPr="00A17749">
        <w:rPr>
          <w:rFonts w:ascii="Arial" w:hAnsi="Arial" w:cs="Arial"/>
          <w:szCs w:val="24"/>
          <w:lang w:val="hr-HR"/>
        </w:rPr>
        <w:t xml:space="preserve">Rijeci, </w:t>
      </w:r>
      <w:r w:rsidR="00427354" w:rsidRPr="00427354">
        <w:rPr>
          <w:rFonts w:ascii="Arial" w:hAnsi="Arial" w:cs="Arial"/>
          <w:i/>
          <w:szCs w:val="24"/>
          <w:u w:val="single"/>
          <w:lang w:val="hr-HR"/>
        </w:rPr>
        <w:t>datum i godina</w:t>
      </w:r>
      <w:r w:rsidR="00427354">
        <w:rPr>
          <w:rFonts w:ascii="Arial" w:hAnsi="Arial" w:cs="Arial"/>
          <w:i/>
          <w:szCs w:val="24"/>
          <w:u w:val="single"/>
          <w:lang w:val="hr-HR"/>
        </w:rPr>
        <w:t>,</w:t>
      </w:r>
      <w:r w:rsidR="00BB3450" w:rsidRPr="00A17749">
        <w:rPr>
          <w:rFonts w:ascii="Arial" w:hAnsi="Arial" w:cs="Arial"/>
          <w:szCs w:val="24"/>
          <w:lang w:val="hr-HR"/>
        </w:rPr>
        <w:t xml:space="preserve"> slijede</w:t>
      </w:r>
      <w:r w:rsidR="00BB3450" w:rsidRPr="00A17749">
        <w:rPr>
          <w:rFonts w:ascii="Arial" w:hAnsi="Arial" w:cs="Arial" w:hint="eastAsia"/>
          <w:szCs w:val="24"/>
          <w:lang w:val="hr-HR"/>
        </w:rPr>
        <w:t>ć</w:t>
      </w:r>
      <w:r w:rsidR="00BB3450" w:rsidRPr="00A17749">
        <w:rPr>
          <w:rFonts w:ascii="Arial" w:hAnsi="Arial" w:cs="Arial"/>
          <w:szCs w:val="24"/>
          <w:lang w:val="hr-HR"/>
        </w:rPr>
        <w:t>i</w:t>
      </w:r>
    </w:p>
    <w:p w14:paraId="5647BEFF" w14:textId="77777777" w:rsidR="00A17749" w:rsidRPr="00A17749" w:rsidRDefault="00A17749" w:rsidP="00364AEB">
      <w:pPr>
        <w:rPr>
          <w:rFonts w:ascii="Arial" w:hAnsi="Arial" w:cs="Arial"/>
          <w:szCs w:val="24"/>
          <w:lang w:val="hr-HR"/>
        </w:rPr>
      </w:pPr>
    </w:p>
    <w:p w14:paraId="19770ED6" w14:textId="71A7EAFD" w:rsidR="0062035C" w:rsidRPr="00A17749" w:rsidRDefault="0056329D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UGOVOR BR.</w:t>
      </w:r>
      <w:r w:rsidR="00FB72AC" w:rsidRPr="00A17749">
        <w:rPr>
          <w:rFonts w:ascii="Arial" w:hAnsi="Arial" w:cs="Arial"/>
          <w:b/>
          <w:szCs w:val="24"/>
          <w:lang w:val="hr-HR"/>
        </w:rPr>
        <w:t xml:space="preserve"> </w:t>
      </w:r>
      <w:r w:rsidR="00427354">
        <w:rPr>
          <w:rFonts w:ascii="Arial" w:hAnsi="Arial" w:cs="Arial"/>
          <w:b/>
          <w:szCs w:val="24"/>
          <w:lang w:val="hr-HR"/>
        </w:rPr>
        <w:t>___</w:t>
      </w:r>
      <w:r w:rsidR="00057196" w:rsidRPr="00A17749">
        <w:rPr>
          <w:rFonts w:ascii="Arial" w:hAnsi="Arial" w:cs="Arial"/>
          <w:b/>
          <w:szCs w:val="24"/>
          <w:lang w:val="hr-HR"/>
        </w:rPr>
        <w:t>/11/</w:t>
      </w:r>
      <w:r w:rsidR="00F02C17">
        <w:rPr>
          <w:rFonts w:ascii="Arial" w:hAnsi="Arial" w:cs="Arial"/>
          <w:b/>
          <w:szCs w:val="24"/>
          <w:lang w:val="hr-HR"/>
        </w:rPr>
        <w:t>202</w:t>
      </w:r>
      <w:r w:rsidR="00427354">
        <w:rPr>
          <w:rFonts w:ascii="Arial" w:hAnsi="Arial" w:cs="Arial"/>
          <w:b/>
          <w:szCs w:val="24"/>
          <w:lang w:val="hr-HR"/>
        </w:rPr>
        <w:t>3</w:t>
      </w:r>
    </w:p>
    <w:p w14:paraId="0780E530" w14:textId="77777777" w:rsidR="0062035C" w:rsidRPr="00A17749" w:rsidRDefault="00057196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A17749">
        <w:rPr>
          <w:rFonts w:ascii="Arial" w:hAnsi="Arial" w:cs="Arial"/>
          <w:b/>
          <w:szCs w:val="24"/>
          <w:lang w:val="hr-HR"/>
        </w:rPr>
        <w:t xml:space="preserve">o </w:t>
      </w:r>
      <w:r w:rsidR="00F7486C">
        <w:rPr>
          <w:rFonts w:ascii="Arial" w:hAnsi="Arial" w:cs="Arial"/>
          <w:b/>
          <w:szCs w:val="24"/>
          <w:lang w:val="hr-HR"/>
        </w:rPr>
        <w:t>financijskoj potpori poduzetnicima u kulturi</w:t>
      </w:r>
    </w:p>
    <w:p w14:paraId="4D36074D" w14:textId="77777777" w:rsidR="00A17749" w:rsidRPr="00A17749" w:rsidRDefault="00A17749" w:rsidP="00364AEB">
      <w:pPr>
        <w:outlineLvl w:val="0"/>
        <w:rPr>
          <w:rFonts w:ascii="Arial" w:hAnsi="Arial" w:cs="Arial"/>
          <w:b/>
          <w:szCs w:val="24"/>
          <w:lang w:val="hr-HR"/>
        </w:rPr>
      </w:pPr>
    </w:p>
    <w:p w14:paraId="2CC2EED0" w14:textId="77777777" w:rsidR="00364AEB" w:rsidRPr="00A17749" w:rsidRDefault="00364AEB" w:rsidP="00364AEB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A17749">
        <w:rPr>
          <w:rFonts w:ascii="Arial" w:hAnsi="Arial" w:cs="Arial"/>
          <w:b/>
          <w:szCs w:val="24"/>
          <w:lang w:val="hr-HR"/>
        </w:rPr>
        <w:t>Članak 1.</w:t>
      </w:r>
    </w:p>
    <w:p w14:paraId="22619E30" w14:textId="0A1F5299" w:rsidR="00BB3450" w:rsidRDefault="00364AEB" w:rsidP="00364AEB">
      <w:pPr>
        <w:rPr>
          <w:rFonts w:ascii="Arial" w:hAnsi="Arial" w:cs="Arial"/>
          <w:szCs w:val="24"/>
          <w:lang w:val="hr-HR"/>
        </w:rPr>
      </w:pPr>
      <w:r w:rsidRPr="00A17749">
        <w:rPr>
          <w:rFonts w:ascii="Arial" w:hAnsi="Arial" w:cs="Arial"/>
          <w:szCs w:val="24"/>
          <w:lang w:val="hr-HR"/>
        </w:rPr>
        <w:tab/>
        <w:t xml:space="preserve">Ovim Ugovorom uređuju se međusobni odnosi Primorsko-goranske županije (u daljnjem tekstu: Županija) i </w:t>
      </w:r>
      <w:r w:rsidR="00427354" w:rsidRPr="00427354">
        <w:rPr>
          <w:rFonts w:ascii="Arial" w:hAnsi="Arial" w:cs="Arial"/>
          <w:i/>
          <w:szCs w:val="24"/>
          <w:u w:val="single"/>
          <w:lang w:val="hr-HR"/>
        </w:rPr>
        <w:t>naziv korisnika</w:t>
      </w:r>
      <w:r w:rsidR="005A3BAE" w:rsidRPr="005A3BAE">
        <w:rPr>
          <w:rFonts w:ascii="Arial" w:hAnsi="Arial" w:cs="Arial"/>
          <w:szCs w:val="24"/>
          <w:lang w:val="hr-HR"/>
        </w:rPr>
        <w:t xml:space="preserve"> </w:t>
      </w:r>
      <w:r w:rsidRPr="00A17749">
        <w:rPr>
          <w:rFonts w:ascii="Arial" w:hAnsi="Arial" w:cs="Arial"/>
          <w:szCs w:val="24"/>
          <w:lang w:val="hr-HR"/>
        </w:rPr>
        <w:t xml:space="preserve">(u daljnjem tekstu: Korisnik) vezani uz korištenje proračunskih sredstava Županije za </w:t>
      </w:r>
      <w:r w:rsidR="00F7486C">
        <w:rPr>
          <w:rFonts w:ascii="Arial" w:hAnsi="Arial" w:cs="Arial"/>
          <w:szCs w:val="24"/>
          <w:lang w:val="hr-HR"/>
        </w:rPr>
        <w:t>financijsku potporu poduzetnicima u kulturi</w:t>
      </w:r>
      <w:r w:rsidRPr="00A17749">
        <w:rPr>
          <w:rFonts w:ascii="Arial" w:hAnsi="Arial" w:cs="Arial"/>
          <w:szCs w:val="24"/>
          <w:lang w:val="hr-HR"/>
        </w:rPr>
        <w:t>.</w:t>
      </w:r>
    </w:p>
    <w:p w14:paraId="43BEADD4" w14:textId="77777777" w:rsidR="0040206D" w:rsidRPr="00A17749" w:rsidRDefault="0040206D" w:rsidP="00364AEB">
      <w:pPr>
        <w:rPr>
          <w:rFonts w:ascii="Arial" w:hAnsi="Arial" w:cs="Arial"/>
          <w:szCs w:val="24"/>
          <w:lang w:val="hr-HR"/>
        </w:rPr>
      </w:pPr>
    </w:p>
    <w:p w14:paraId="15FE65AA" w14:textId="77777777" w:rsidR="00364AEB" w:rsidRPr="00A17749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A17749">
        <w:rPr>
          <w:rFonts w:cs="Arial"/>
          <w:b/>
          <w:szCs w:val="24"/>
          <w:lang w:val="hr-HR"/>
        </w:rPr>
        <w:t>Članak 2.</w:t>
      </w:r>
    </w:p>
    <w:p w14:paraId="5B8EF682" w14:textId="16A92A7A" w:rsidR="00A17749" w:rsidRPr="00A17749" w:rsidRDefault="00364AEB" w:rsidP="00F9544C">
      <w:pPr>
        <w:pStyle w:val="BodyText"/>
        <w:jc w:val="both"/>
        <w:rPr>
          <w:rFonts w:cs="Arial"/>
          <w:szCs w:val="24"/>
          <w:lang w:val="hr-HR"/>
        </w:rPr>
      </w:pPr>
      <w:r w:rsidRPr="00A17749">
        <w:rPr>
          <w:rFonts w:cs="Arial"/>
          <w:szCs w:val="24"/>
          <w:lang w:val="hr-HR"/>
        </w:rPr>
        <w:t xml:space="preserve"> </w:t>
      </w:r>
      <w:r w:rsidRPr="00A17749">
        <w:rPr>
          <w:rFonts w:cs="Arial"/>
          <w:szCs w:val="24"/>
          <w:lang w:val="hr-HR"/>
        </w:rPr>
        <w:tab/>
        <w:t xml:space="preserve">Županija će iz Proračuna za </w:t>
      </w:r>
      <w:r w:rsidR="00427354">
        <w:rPr>
          <w:rFonts w:cs="Arial"/>
          <w:szCs w:val="24"/>
          <w:lang w:val="hr-HR"/>
        </w:rPr>
        <w:t>2023</w:t>
      </w:r>
      <w:r w:rsidR="00057196" w:rsidRPr="00A17749">
        <w:rPr>
          <w:rFonts w:cs="Arial"/>
          <w:szCs w:val="24"/>
          <w:lang w:val="hr-HR"/>
        </w:rPr>
        <w:t>. godinu sufinancirati program</w:t>
      </w:r>
      <w:r w:rsidRPr="00A17749">
        <w:rPr>
          <w:rFonts w:cs="Arial"/>
          <w:szCs w:val="24"/>
          <w:lang w:val="hr-HR"/>
        </w:rPr>
        <w:t xml:space="preserve"> K</w:t>
      </w:r>
      <w:r w:rsidR="00735600" w:rsidRPr="00A17749">
        <w:rPr>
          <w:rFonts w:cs="Arial"/>
          <w:szCs w:val="24"/>
          <w:lang w:val="hr-HR"/>
        </w:rPr>
        <w:t xml:space="preserve">orisnika s ukupnim iznosom </w:t>
      </w:r>
      <w:r w:rsidR="00735600" w:rsidRPr="00427354">
        <w:rPr>
          <w:rFonts w:cs="Arial"/>
          <w:i/>
          <w:szCs w:val="24"/>
          <w:u w:val="single"/>
          <w:lang w:val="hr-HR"/>
        </w:rPr>
        <w:t xml:space="preserve">od </w:t>
      </w:r>
      <w:r w:rsidR="00427354" w:rsidRPr="00427354">
        <w:rPr>
          <w:rFonts w:cs="Arial"/>
          <w:i/>
          <w:szCs w:val="24"/>
          <w:u w:val="single"/>
          <w:lang w:val="hr-HR"/>
        </w:rPr>
        <w:t>iznos u eurima</w:t>
      </w:r>
      <w:r w:rsidR="00427354">
        <w:rPr>
          <w:rFonts w:cs="Arial"/>
          <w:szCs w:val="24"/>
          <w:lang w:val="hr-HR"/>
        </w:rPr>
        <w:t>,</w:t>
      </w:r>
      <w:r w:rsidRPr="00A17749">
        <w:rPr>
          <w:rFonts w:cs="Arial"/>
          <w:szCs w:val="24"/>
          <w:lang w:val="hr-HR"/>
        </w:rPr>
        <w:t xml:space="preserve"> i to:</w:t>
      </w:r>
    </w:p>
    <w:p w14:paraId="1693CB92" w14:textId="3594A034" w:rsidR="000133A6" w:rsidRPr="00A17749" w:rsidRDefault="000133A6" w:rsidP="000133A6">
      <w:pPr>
        <w:pStyle w:val="BodyText"/>
        <w:numPr>
          <w:ilvl w:val="0"/>
          <w:numId w:val="10"/>
        </w:numPr>
        <w:jc w:val="both"/>
        <w:rPr>
          <w:rFonts w:cs="Arial"/>
          <w:szCs w:val="24"/>
          <w:lang w:val="hr-HR"/>
        </w:rPr>
      </w:pPr>
      <w:r w:rsidRPr="00A17749">
        <w:rPr>
          <w:rFonts w:cs="Arial"/>
          <w:szCs w:val="24"/>
          <w:lang w:val="hr-HR"/>
        </w:rPr>
        <w:t xml:space="preserve">s </w:t>
      </w:r>
      <w:r w:rsidR="00A706A0" w:rsidRPr="00A17749">
        <w:rPr>
          <w:rFonts w:cs="Arial"/>
          <w:szCs w:val="24"/>
          <w:lang w:val="hr-HR"/>
        </w:rPr>
        <w:t>pozicije 5104</w:t>
      </w:r>
      <w:r w:rsidR="00427354">
        <w:rPr>
          <w:rFonts w:cs="Arial"/>
          <w:szCs w:val="24"/>
          <w:lang w:val="hr-HR"/>
        </w:rPr>
        <w:t>28</w:t>
      </w:r>
      <w:r w:rsidRPr="00A17749">
        <w:rPr>
          <w:rFonts w:cs="Arial"/>
          <w:szCs w:val="24"/>
          <w:lang w:val="hr-HR"/>
        </w:rPr>
        <w:t>:</w:t>
      </w:r>
    </w:p>
    <w:p w14:paraId="3EF55A8F" w14:textId="7D3193B2" w:rsidR="000133A6" w:rsidRDefault="00427354" w:rsidP="00F02C17">
      <w:pPr>
        <w:pStyle w:val="BodyText"/>
        <w:numPr>
          <w:ilvl w:val="1"/>
          <w:numId w:val="10"/>
        </w:numPr>
        <w:jc w:val="both"/>
        <w:rPr>
          <w:rFonts w:cs="Arial"/>
          <w:szCs w:val="24"/>
          <w:lang w:val="hr-HR"/>
        </w:rPr>
      </w:pPr>
      <w:r w:rsidRPr="00427354">
        <w:rPr>
          <w:rFonts w:cs="Arial"/>
          <w:i/>
          <w:szCs w:val="24"/>
          <w:u w:val="single"/>
          <w:lang w:val="hr-HR"/>
        </w:rPr>
        <w:t>Naziv programa/projekta</w:t>
      </w:r>
      <w:r>
        <w:rPr>
          <w:rFonts w:cs="Arial"/>
          <w:szCs w:val="24"/>
          <w:lang w:val="hr-HR"/>
        </w:rPr>
        <w:t>.</w:t>
      </w:r>
    </w:p>
    <w:p w14:paraId="59D94136" w14:textId="0CC3CD52" w:rsidR="003B319D" w:rsidRDefault="00364AEB" w:rsidP="003B319D">
      <w:pPr>
        <w:pStyle w:val="BodyText"/>
        <w:ind w:firstLine="709"/>
        <w:jc w:val="both"/>
        <w:rPr>
          <w:rFonts w:cs="Arial"/>
          <w:szCs w:val="24"/>
          <w:lang w:val="hr-HR"/>
        </w:rPr>
      </w:pPr>
      <w:r w:rsidRPr="00A17749">
        <w:rPr>
          <w:rFonts w:cs="Arial"/>
          <w:szCs w:val="24"/>
          <w:lang w:val="hr-HR"/>
        </w:rPr>
        <w:t xml:space="preserve">Sredstva će se doznačiti na račun Korisnika broj </w:t>
      </w:r>
      <w:r w:rsidR="0006167E">
        <w:rPr>
          <w:rFonts w:cs="Arial"/>
          <w:i/>
          <w:szCs w:val="24"/>
          <w:u w:val="single"/>
          <w:lang w:val="hr-HR"/>
        </w:rPr>
        <w:t>___________</w:t>
      </w:r>
      <w:r w:rsidRPr="00A17749">
        <w:rPr>
          <w:rFonts w:cs="Arial"/>
          <w:szCs w:val="24"/>
          <w:lang w:val="hr-HR"/>
        </w:rPr>
        <w:t>, prema dinamici programa</w:t>
      </w:r>
      <w:r w:rsidR="00FB72AC" w:rsidRPr="00A17749">
        <w:rPr>
          <w:rFonts w:cs="Arial"/>
          <w:szCs w:val="24"/>
          <w:lang w:val="hr-HR"/>
        </w:rPr>
        <w:t>,</w:t>
      </w:r>
      <w:r w:rsidRPr="00A17749">
        <w:rPr>
          <w:rFonts w:cs="Arial"/>
          <w:szCs w:val="24"/>
          <w:lang w:val="hr-HR"/>
        </w:rPr>
        <w:t xml:space="preserve"> a u sk</w:t>
      </w:r>
      <w:r w:rsidR="00FB72AC" w:rsidRPr="00A17749">
        <w:rPr>
          <w:rFonts w:cs="Arial"/>
          <w:szCs w:val="24"/>
          <w:lang w:val="hr-HR"/>
        </w:rPr>
        <w:t xml:space="preserve">ladu s raspoloživim sredstvima </w:t>
      </w:r>
      <w:r w:rsidRPr="00A17749">
        <w:rPr>
          <w:rFonts w:cs="Arial"/>
          <w:szCs w:val="24"/>
          <w:lang w:val="hr-HR"/>
        </w:rPr>
        <w:t xml:space="preserve">u Proračunu Županije.    </w:t>
      </w:r>
    </w:p>
    <w:p w14:paraId="4472753D" w14:textId="0CAEFF92" w:rsidR="00364AEB" w:rsidRDefault="00364AEB" w:rsidP="003B319D">
      <w:pPr>
        <w:pStyle w:val="BodyText"/>
        <w:ind w:firstLine="709"/>
        <w:jc w:val="both"/>
        <w:rPr>
          <w:rFonts w:cs="Arial"/>
          <w:szCs w:val="24"/>
          <w:lang w:val="hr-HR"/>
        </w:rPr>
      </w:pPr>
      <w:r w:rsidRPr="00A17749">
        <w:rPr>
          <w:rFonts w:cs="Arial"/>
          <w:szCs w:val="24"/>
          <w:lang w:val="hr-HR"/>
        </w:rPr>
        <w:t xml:space="preserve">Korisnik je dužan podnijeti zahtjev za prijenos sredstava, koji treba sadržavati sve financijske pokazatelje, najkasnije 30 dana prije početka </w:t>
      </w:r>
      <w:r w:rsidR="00427354">
        <w:rPr>
          <w:rFonts w:cs="Arial"/>
          <w:szCs w:val="24"/>
          <w:lang w:val="hr-HR"/>
        </w:rPr>
        <w:t>realizacije</w:t>
      </w:r>
      <w:r w:rsidRPr="00A17749">
        <w:rPr>
          <w:rFonts w:cs="Arial"/>
          <w:szCs w:val="24"/>
          <w:lang w:val="hr-HR"/>
        </w:rPr>
        <w:t xml:space="preserve"> programa</w:t>
      </w:r>
      <w:r w:rsidR="00936ED8" w:rsidRPr="00A17749">
        <w:rPr>
          <w:rFonts w:cs="Arial"/>
          <w:szCs w:val="24"/>
          <w:lang w:val="hr-HR"/>
        </w:rPr>
        <w:t>,</w:t>
      </w:r>
      <w:r w:rsidRPr="00A17749">
        <w:rPr>
          <w:rFonts w:cs="Arial"/>
          <w:szCs w:val="24"/>
          <w:lang w:val="hr-HR"/>
        </w:rPr>
        <w:t xml:space="preserve"> odnosno njegovog dijela ukoliko se realizacija obavlja u etapama.</w:t>
      </w:r>
    </w:p>
    <w:p w14:paraId="78E6FAD2" w14:textId="4479B7B5" w:rsidR="0040206D" w:rsidRDefault="0040206D" w:rsidP="003B319D">
      <w:pPr>
        <w:pStyle w:val="BodyText"/>
        <w:ind w:firstLine="709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Korisnik se obvezuje doznačenim sredstvima </w:t>
      </w:r>
      <w:r w:rsidR="00427354" w:rsidRPr="00427354">
        <w:rPr>
          <w:rFonts w:cs="Arial"/>
          <w:i/>
          <w:szCs w:val="24"/>
          <w:u w:val="single"/>
          <w:lang w:val="hr-HR"/>
        </w:rPr>
        <w:t>za što se odobravaju sredstva</w:t>
      </w:r>
      <w:r w:rsidR="00427354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iz stavka 1. ovog članka.</w:t>
      </w:r>
    </w:p>
    <w:p w14:paraId="214BF4FE" w14:textId="448E1A3B" w:rsidR="0040206D" w:rsidRPr="0040206D" w:rsidRDefault="003B319D" w:rsidP="00740FBA">
      <w:pPr>
        <w:spacing w:after="120"/>
        <w:ind w:firstLine="709"/>
        <w:rPr>
          <w:rFonts w:ascii="Arial" w:hAnsi="Arial" w:cs="Arial"/>
          <w:bCs/>
          <w:szCs w:val="24"/>
          <w:lang w:val="hr-HR"/>
        </w:rPr>
      </w:pPr>
      <w:r w:rsidRPr="0040206D">
        <w:rPr>
          <w:rFonts w:ascii="Arial" w:hAnsi="Arial" w:cs="Arial"/>
          <w:bCs/>
          <w:szCs w:val="24"/>
          <w:lang w:val="hr-HR"/>
        </w:rPr>
        <w:t xml:space="preserve">Iznos potpore Primorsko-goranske županije predstavlja državnu potporu male vrijednosti sukladno Uredbi koja se primjenjuje na dodjelu potpora male vrijednosti od 1. siječnja 2014. do 31. prosinca </w:t>
      </w:r>
      <w:r w:rsidR="00F02C17">
        <w:rPr>
          <w:rFonts w:ascii="Arial" w:hAnsi="Arial" w:cs="Arial"/>
          <w:bCs/>
          <w:szCs w:val="24"/>
          <w:lang w:val="hr-HR"/>
        </w:rPr>
        <w:t>2022</w:t>
      </w:r>
      <w:r w:rsidRPr="0040206D">
        <w:rPr>
          <w:rFonts w:ascii="Arial" w:hAnsi="Arial" w:cs="Arial"/>
          <w:bCs/>
          <w:szCs w:val="24"/>
          <w:lang w:val="hr-HR"/>
        </w:rPr>
        <w:t>. (Uredba Komisije br. 1407/2013, od 18. prosinca 2013., o primjeni članaka 107. i 108. UFEU-a na de minimis potpor</w:t>
      </w:r>
      <w:r w:rsidR="006A5F45">
        <w:rPr>
          <w:rFonts w:ascii="Arial" w:hAnsi="Arial" w:cs="Arial"/>
          <w:bCs/>
          <w:szCs w:val="24"/>
          <w:lang w:val="hr-HR"/>
        </w:rPr>
        <w:t xml:space="preserve">e (SL EU, L352, od 24.12.2013.) </w:t>
      </w:r>
      <w:proofErr w:type="spellStart"/>
      <w:proofErr w:type="gramStart"/>
      <w:r w:rsidR="006A5F45">
        <w:rPr>
          <w:rFonts w:ascii="Arial" w:hAnsi="Arial"/>
        </w:rPr>
        <w:t>i</w:t>
      </w:r>
      <w:proofErr w:type="spellEnd"/>
      <w:proofErr w:type="gramEnd"/>
      <w:r w:rsidR="006A5F45">
        <w:rPr>
          <w:rFonts w:ascii="Arial" w:hAnsi="Arial"/>
        </w:rPr>
        <w:t xml:space="preserve"> </w:t>
      </w:r>
      <w:proofErr w:type="spellStart"/>
      <w:r w:rsidR="006A5F45">
        <w:rPr>
          <w:rFonts w:ascii="Arial" w:hAnsi="Arial" w:cs="Arial"/>
          <w:bCs/>
        </w:rPr>
        <w:t>Uredbi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Komisije</w:t>
      </w:r>
      <w:proofErr w:type="spellEnd"/>
      <w:r w:rsidR="006A5F45" w:rsidRPr="00CE00CD">
        <w:rPr>
          <w:rFonts w:ascii="Arial" w:hAnsi="Arial" w:cs="Arial"/>
          <w:bCs/>
        </w:rPr>
        <w:t xml:space="preserve"> br.</w:t>
      </w:r>
      <w:r w:rsidR="006A5F45">
        <w:rPr>
          <w:rFonts w:ascii="Arial" w:hAnsi="Arial" w:cs="Arial"/>
          <w:bCs/>
        </w:rPr>
        <w:t xml:space="preserve"> 2020/972,</w:t>
      </w:r>
      <w:r w:rsidR="006A5F45" w:rsidRPr="00CE00CD">
        <w:t xml:space="preserve"> </w:t>
      </w:r>
      <w:r w:rsidR="006A5F45" w:rsidRPr="00CE00CD">
        <w:rPr>
          <w:rFonts w:ascii="Arial" w:hAnsi="Arial" w:cs="Arial"/>
          <w:bCs/>
        </w:rPr>
        <w:t xml:space="preserve">o </w:t>
      </w:r>
      <w:proofErr w:type="spellStart"/>
      <w:r w:rsidR="006A5F45" w:rsidRPr="00CE00CD">
        <w:rPr>
          <w:rFonts w:ascii="Arial" w:hAnsi="Arial" w:cs="Arial"/>
          <w:bCs/>
        </w:rPr>
        <w:t>izmjeni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Uredbe</w:t>
      </w:r>
      <w:proofErr w:type="spellEnd"/>
      <w:r w:rsidR="006A5F45" w:rsidRPr="00CE00CD">
        <w:rPr>
          <w:rFonts w:ascii="Arial" w:hAnsi="Arial" w:cs="Arial"/>
          <w:bCs/>
        </w:rPr>
        <w:t xml:space="preserve"> (EU) br. 1407/2013 u </w:t>
      </w:r>
      <w:proofErr w:type="spellStart"/>
      <w:r w:rsidR="006A5F45" w:rsidRPr="00CE00CD">
        <w:rPr>
          <w:rFonts w:ascii="Arial" w:hAnsi="Arial" w:cs="Arial"/>
          <w:bCs/>
        </w:rPr>
        <w:t>pogledu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njezina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produljenja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i</w:t>
      </w:r>
      <w:proofErr w:type="spellEnd"/>
      <w:r w:rsidR="006A5F45" w:rsidRPr="00CE00CD">
        <w:rPr>
          <w:rFonts w:ascii="Arial" w:hAnsi="Arial" w:cs="Arial"/>
          <w:bCs/>
        </w:rPr>
        <w:t xml:space="preserve"> o </w:t>
      </w:r>
      <w:proofErr w:type="spellStart"/>
      <w:r w:rsidR="006A5F45" w:rsidRPr="00CE00CD">
        <w:rPr>
          <w:rFonts w:ascii="Arial" w:hAnsi="Arial" w:cs="Arial"/>
          <w:bCs/>
        </w:rPr>
        <w:t>izmjeni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Uredbe</w:t>
      </w:r>
      <w:proofErr w:type="spellEnd"/>
      <w:r w:rsidR="006A5F45" w:rsidRPr="00CE00CD">
        <w:rPr>
          <w:rFonts w:ascii="Arial" w:hAnsi="Arial" w:cs="Arial"/>
          <w:bCs/>
        </w:rPr>
        <w:t xml:space="preserve"> (EU)</w:t>
      </w:r>
      <w:r w:rsidR="006A5F45">
        <w:rPr>
          <w:rFonts w:ascii="Arial" w:hAnsi="Arial" w:cs="Arial"/>
          <w:bCs/>
        </w:rPr>
        <w:t xml:space="preserve"> </w:t>
      </w:r>
      <w:r w:rsidR="006A5F45" w:rsidRPr="00CE00CD">
        <w:rPr>
          <w:rFonts w:ascii="Arial" w:hAnsi="Arial" w:cs="Arial"/>
          <w:bCs/>
        </w:rPr>
        <w:t xml:space="preserve">br. 651/2014 u </w:t>
      </w:r>
      <w:proofErr w:type="spellStart"/>
      <w:r w:rsidR="006A5F45" w:rsidRPr="00CE00CD">
        <w:rPr>
          <w:rFonts w:ascii="Arial" w:hAnsi="Arial" w:cs="Arial"/>
          <w:bCs/>
        </w:rPr>
        <w:t>pogledu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njezina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produljenja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i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odgovarajućih</w:t>
      </w:r>
      <w:proofErr w:type="spellEnd"/>
      <w:r w:rsidR="006A5F45" w:rsidRPr="00CE00CD">
        <w:rPr>
          <w:rFonts w:ascii="Arial" w:hAnsi="Arial" w:cs="Arial"/>
          <w:bCs/>
        </w:rPr>
        <w:t xml:space="preserve"> </w:t>
      </w:r>
      <w:proofErr w:type="spellStart"/>
      <w:r w:rsidR="006A5F45" w:rsidRPr="00CE00CD">
        <w:rPr>
          <w:rFonts w:ascii="Arial" w:hAnsi="Arial" w:cs="Arial"/>
          <w:bCs/>
        </w:rPr>
        <w:t>prilagodbi</w:t>
      </w:r>
      <w:proofErr w:type="spellEnd"/>
      <w:r w:rsidR="006A5F45">
        <w:rPr>
          <w:rFonts w:ascii="Arial" w:hAnsi="Arial" w:cs="Arial"/>
          <w:bCs/>
        </w:rPr>
        <w:t xml:space="preserve"> (SL EU, L215/3, od 7.7.2020.)</w:t>
      </w:r>
    </w:p>
    <w:p w14:paraId="2A3919BE" w14:textId="77777777" w:rsidR="00740FBA" w:rsidRDefault="00740FBA" w:rsidP="00364AEB">
      <w:pPr>
        <w:pStyle w:val="BodyText"/>
        <w:outlineLvl w:val="0"/>
        <w:rPr>
          <w:rFonts w:cs="Arial"/>
          <w:b/>
          <w:szCs w:val="24"/>
          <w:lang w:val="hr-HR"/>
        </w:rPr>
      </w:pPr>
    </w:p>
    <w:p w14:paraId="2D13C77D" w14:textId="730537C3" w:rsidR="00364AEB" w:rsidRPr="00A17749" w:rsidRDefault="00364AEB" w:rsidP="00364AEB">
      <w:pPr>
        <w:pStyle w:val="BodyText"/>
        <w:outlineLvl w:val="0"/>
        <w:rPr>
          <w:rFonts w:cs="Arial"/>
          <w:b/>
          <w:szCs w:val="24"/>
          <w:lang w:val="hr-HR"/>
        </w:rPr>
      </w:pPr>
      <w:r w:rsidRPr="00A17749">
        <w:rPr>
          <w:rFonts w:cs="Arial"/>
          <w:b/>
          <w:szCs w:val="24"/>
          <w:lang w:val="hr-HR"/>
        </w:rPr>
        <w:t>Članak 3.</w:t>
      </w:r>
    </w:p>
    <w:p w14:paraId="6AD8DE86" w14:textId="77777777" w:rsidR="006276E9" w:rsidRPr="006276E9" w:rsidRDefault="006276E9" w:rsidP="005A5399">
      <w:pPr>
        <w:ind w:firstLine="709"/>
        <w:rPr>
          <w:rFonts w:ascii="Arial" w:hAnsi="Arial" w:cs="Arial"/>
          <w:lang w:val="hr-HR"/>
        </w:rPr>
      </w:pPr>
      <w:r w:rsidRPr="006276E9">
        <w:rPr>
          <w:rFonts w:ascii="Arial" w:hAnsi="Arial" w:cs="Arial"/>
          <w:lang w:val="hr-HR"/>
        </w:rPr>
        <w:t>Korisnik se obvezuje dozna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enim financijskim sredstvima raspolagati strogo namjenski za Ugovorom utvr</w:t>
      </w:r>
      <w:r w:rsidRPr="006276E9">
        <w:rPr>
          <w:rFonts w:ascii="Arial" w:hAnsi="Arial" w:cs="Arial" w:hint="eastAsia"/>
          <w:lang w:val="hr-HR"/>
        </w:rPr>
        <w:t>đ</w:t>
      </w:r>
      <w:r w:rsidRPr="006276E9">
        <w:rPr>
          <w:rFonts w:ascii="Arial" w:hAnsi="Arial" w:cs="Arial"/>
          <w:lang w:val="hr-HR"/>
        </w:rPr>
        <w:t>ene namjene, po na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 xml:space="preserve">elima dobrog gospodarenja. </w:t>
      </w:r>
    </w:p>
    <w:p w14:paraId="1CDDABE6" w14:textId="77777777" w:rsidR="006276E9" w:rsidRPr="006276E9" w:rsidRDefault="006276E9" w:rsidP="006276E9">
      <w:pPr>
        <w:ind w:firstLine="423"/>
        <w:rPr>
          <w:rFonts w:ascii="Arial" w:hAnsi="Arial" w:cs="Arial"/>
          <w:lang w:val="hr-HR"/>
        </w:rPr>
      </w:pPr>
      <w:r w:rsidRPr="006276E9">
        <w:rPr>
          <w:rFonts w:ascii="Arial" w:hAnsi="Arial" w:cs="Arial"/>
          <w:lang w:val="hr-HR"/>
        </w:rPr>
        <w:tab/>
        <w:t>Korisnik se obvezuje kroz planirane promotivne aktivnosti informi</w:t>
      </w:r>
      <w:r w:rsidR="00F7486C">
        <w:rPr>
          <w:rFonts w:ascii="Arial" w:hAnsi="Arial" w:cs="Arial"/>
          <w:lang w:val="hr-HR"/>
        </w:rPr>
        <w:t>rati javnost, odnosno istaknuti da</w:t>
      </w:r>
      <w:r w:rsidRPr="006276E9">
        <w:rPr>
          <w:rFonts w:ascii="Arial" w:hAnsi="Arial" w:cs="Arial"/>
          <w:lang w:val="hr-HR"/>
        </w:rPr>
        <w:t xml:space="preserve"> Županija </w:t>
      </w:r>
      <w:r w:rsidR="00F7486C">
        <w:rPr>
          <w:rFonts w:ascii="Arial" w:hAnsi="Arial" w:cs="Arial"/>
          <w:lang w:val="hr-HR"/>
        </w:rPr>
        <w:t>sufinancira p</w:t>
      </w:r>
      <w:r w:rsidR="008C6B99">
        <w:rPr>
          <w:rFonts w:ascii="Arial" w:hAnsi="Arial" w:cs="Arial"/>
          <w:lang w:val="hr-HR"/>
        </w:rPr>
        <w:t>rograme</w:t>
      </w:r>
      <w:r w:rsidR="00F7486C">
        <w:rPr>
          <w:rFonts w:ascii="Arial" w:hAnsi="Arial" w:cs="Arial"/>
          <w:lang w:val="hr-HR"/>
        </w:rPr>
        <w:t xml:space="preserve"> koji su</w:t>
      </w:r>
      <w:r w:rsidRPr="006276E9">
        <w:rPr>
          <w:rFonts w:ascii="Arial" w:hAnsi="Arial" w:cs="Arial"/>
          <w:lang w:val="hr-HR"/>
        </w:rPr>
        <w:t xml:space="preserve"> predmet ovog Ugovora. </w:t>
      </w:r>
    </w:p>
    <w:p w14:paraId="7F185BB6" w14:textId="77777777" w:rsidR="006276E9" w:rsidRPr="006276E9" w:rsidRDefault="006276E9" w:rsidP="006276E9">
      <w:pPr>
        <w:ind w:firstLine="423"/>
        <w:rPr>
          <w:rFonts w:ascii="Arial" w:hAnsi="Arial" w:cs="Arial"/>
          <w:lang w:val="hr-HR"/>
        </w:rPr>
      </w:pPr>
      <w:r w:rsidRPr="006276E9">
        <w:rPr>
          <w:rFonts w:ascii="Arial" w:hAnsi="Arial" w:cs="Arial"/>
          <w:lang w:val="hr-HR"/>
        </w:rPr>
        <w:tab/>
        <w:t xml:space="preserve">Korisnik je dužan informaciju iz stavka 1. ovog 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lanka prenositi na potpun i to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an na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in, odnosno u govornom i pisanom obliku upotrebljavati potpun i to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an naziv sufinancijera, koristiti isklju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ivo izraz „sufinancijer“, te ukoliko promotivne aktivnosti uklju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uju izradu promotivnih materijala potrebno je koristiti znakovlje i grafi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>ka obilježja Županije.</w:t>
      </w:r>
    </w:p>
    <w:p w14:paraId="6483480E" w14:textId="77777777" w:rsidR="006276E9" w:rsidRPr="006276E9" w:rsidRDefault="006276E9" w:rsidP="006276E9">
      <w:pPr>
        <w:ind w:firstLine="423"/>
        <w:rPr>
          <w:rFonts w:ascii="Arial" w:hAnsi="Arial" w:cs="Arial"/>
          <w:lang w:val="hr-HR"/>
        </w:rPr>
      </w:pPr>
      <w:r w:rsidRPr="006276E9">
        <w:rPr>
          <w:rFonts w:ascii="Arial" w:hAnsi="Arial" w:cs="Arial"/>
          <w:lang w:val="hr-HR"/>
        </w:rPr>
        <w:tab/>
        <w:t>Znakovlje i grafi</w:t>
      </w:r>
      <w:r w:rsidRPr="006276E9">
        <w:rPr>
          <w:rFonts w:ascii="Arial" w:hAnsi="Arial" w:cs="Arial" w:hint="eastAsia"/>
          <w:lang w:val="hr-HR"/>
        </w:rPr>
        <w:t>č</w:t>
      </w:r>
      <w:r w:rsidRPr="006276E9">
        <w:rPr>
          <w:rFonts w:ascii="Arial" w:hAnsi="Arial" w:cs="Arial"/>
          <w:lang w:val="hr-HR"/>
        </w:rPr>
        <w:t xml:space="preserve">ka obilježja Županije potrebno je koristiti sukladno Pravilniku vizualnog identiteta projekata i aktivnosti financiranih sredstvima Županije. Pravilnik je dostupan u elektronskom formatu na: http://www.pgz.hr </w:t>
      </w:r>
    </w:p>
    <w:p w14:paraId="5A8A348C" w14:textId="11CED0EF" w:rsidR="0040206D" w:rsidRPr="0040206D" w:rsidRDefault="006276E9" w:rsidP="0040206D">
      <w:pPr>
        <w:rPr>
          <w:rFonts w:ascii="Arial" w:hAnsi="Arial" w:cs="Arial"/>
          <w:lang w:val="hr-HR"/>
        </w:rPr>
      </w:pPr>
      <w:r w:rsidRPr="006276E9">
        <w:rPr>
          <w:rFonts w:ascii="Arial" w:hAnsi="Arial"/>
          <w:lang w:val="hr-HR"/>
        </w:rPr>
        <w:lastRenderedPageBreak/>
        <w:tab/>
      </w:r>
      <w:r w:rsidR="00427354">
        <w:rPr>
          <w:rFonts w:ascii="Arial" w:hAnsi="Arial" w:cs="Arial"/>
          <w:lang w:val="hr-HR"/>
        </w:rPr>
        <w:t>Ako</w:t>
      </w:r>
      <w:r w:rsidRPr="006276E9">
        <w:rPr>
          <w:rFonts w:ascii="Arial" w:hAnsi="Arial" w:cs="Arial"/>
          <w:lang w:val="hr-HR"/>
        </w:rPr>
        <w:t xml:space="preserve"> Korisnik iz bilo kojeg razloga ne može ostvariti program za koji je podnio zahtjev, dužan je o tome uz pisano obrazloženje pravovremeno izvijestiti Županiju.</w:t>
      </w:r>
    </w:p>
    <w:p w14:paraId="50F0586D" w14:textId="77777777" w:rsidR="006A5F45" w:rsidRDefault="006A5F45" w:rsidP="00180618">
      <w:pPr>
        <w:pStyle w:val="BodyText"/>
        <w:rPr>
          <w:rFonts w:cs="Arial"/>
          <w:b/>
          <w:lang w:val="hr-HR"/>
        </w:rPr>
      </w:pPr>
    </w:p>
    <w:p w14:paraId="2BE39638" w14:textId="740DCFF8" w:rsidR="00364AEB" w:rsidRPr="00180618" w:rsidRDefault="00180618" w:rsidP="00180618">
      <w:pPr>
        <w:pStyle w:val="BodyText"/>
        <w:rPr>
          <w:rFonts w:cs="Arial"/>
          <w:lang w:val="hr-HR"/>
        </w:rPr>
      </w:pPr>
      <w:r>
        <w:rPr>
          <w:rFonts w:cs="Arial"/>
          <w:b/>
          <w:lang w:val="hr-HR"/>
        </w:rPr>
        <w:t>Članak 4</w:t>
      </w:r>
      <w:r w:rsidR="00364AEB" w:rsidRPr="00FA6EFD">
        <w:rPr>
          <w:rFonts w:cs="Arial"/>
          <w:b/>
          <w:lang w:val="hr-HR"/>
        </w:rPr>
        <w:t>.</w:t>
      </w:r>
    </w:p>
    <w:p w14:paraId="5506A7CD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 xml:space="preserve">Županija ima pravo obustaviti doznaku sredstava </w:t>
      </w:r>
      <w:r w:rsidR="00FB72AC">
        <w:rPr>
          <w:rFonts w:cs="Arial"/>
          <w:lang w:val="hr-HR"/>
        </w:rPr>
        <w:t xml:space="preserve">i tražiti povrat već doznačenih financijskih </w:t>
      </w:r>
      <w:r w:rsidRPr="00FA6EFD">
        <w:rPr>
          <w:rFonts w:cs="Arial"/>
          <w:lang w:val="hr-HR"/>
        </w:rPr>
        <w:t xml:space="preserve">sredstava ukoliko ih Korisnik koristi protivno namjeni utvrđenoj ovim Ugovorom, u slučaju </w:t>
      </w:r>
      <w:r w:rsidR="00180618">
        <w:rPr>
          <w:rFonts w:cs="Arial"/>
          <w:lang w:val="hr-HR"/>
        </w:rPr>
        <w:t>neizvršavanja obveze iz članka 3</w:t>
      </w:r>
      <w:r w:rsidRPr="00FA6EFD">
        <w:rPr>
          <w:rFonts w:cs="Arial"/>
          <w:lang w:val="hr-HR"/>
        </w:rPr>
        <w:t>. ovog Ugovora, te u slučaju kada Korisnik ne ostvari planirani i prihvaćeni program.</w:t>
      </w:r>
    </w:p>
    <w:p w14:paraId="7B604BEB" w14:textId="77777777" w:rsidR="00A17749" w:rsidRDefault="00FB72AC" w:rsidP="002E7584">
      <w:pPr>
        <w:pStyle w:val="BodyText"/>
        <w:jc w:val="both"/>
        <w:rPr>
          <w:rFonts w:cs="Arial"/>
          <w:b/>
          <w:lang w:val="hr-HR"/>
        </w:rPr>
      </w:pPr>
      <w:r>
        <w:rPr>
          <w:rFonts w:cs="Arial"/>
          <w:lang w:val="hr-HR"/>
        </w:rPr>
        <w:tab/>
        <w:t xml:space="preserve">O obustavi dodjele </w:t>
      </w:r>
      <w:r w:rsidR="00364AEB" w:rsidRPr="00FA6EFD">
        <w:rPr>
          <w:rFonts w:cs="Arial"/>
          <w:lang w:val="hr-HR"/>
        </w:rPr>
        <w:t>kao i o obvezi povrata već dozn</w:t>
      </w:r>
      <w:r>
        <w:rPr>
          <w:rFonts w:cs="Arial"/>
          <w:lang w:val="hr-HR"/>
        </w:rPr>
        <w:t xml:space="preserve">ačenih financijskih sredstava, </w:t>
      </w:r>
      <w:r w:rsidR="00364AEB" w:rsidRPr="00FA6EFD">
        <w:rPr>
          <w:rFonts w:cs="Arial"/>
          <w:lang w:val="hr-HR"/>
        </w:rPr>
        <w:t>Županija će obavijestiti Korisnika pisanom obav</w:t>
      </w:r>
      <w:r w:rsidR="00364AEB">
        <w:rPr>
          <w:rFonts w:cs="Arial"/>
          <w:lang w:val="hr-HR"/>
        </w:rPr>
        <w:t>i</w:t>
      </w:r>
      <w:r w:rsidR="00364AEB" w:rsidRPr="00FA6EFD">
        <w:rPr>
          <w:rFonts w:cs="Arial"/>
          <w:lang w:val="hr-HR"/>
        </w:rPr>
        <w:t>ješću.</w:t>
      </w:r>
    </w:p>
    <w:p w14:paraId="384D7E84" w14:textId="77777777" w:rsidR="006276E9" w:rsidRDefault="006276E9" w:rsidP="00180618">
      <w:pPr>
        <w:pStyle w:val="BodyText"/>
        <w:outlineLvl w:val="0"/>
        <w:rPr>
          <w:rFonts w:cs="Arial"/>
          <w:b/>
          <w:lang w:val="hr-HR"/>
        </w:rPr>
      </w:pPr>
    </w:p>
    <w:p w14:paraId="0FFB6972" w14:textId="77777777" w:rsidR="00180618" w:rsidRPr="00FA6EFD" w:rsidRDefault="00180618" w:rsidP="00180618">
      <w:pPr>
        <w:pStyle w:val="BodyText"/>
        <w:outlineLvl w:val="0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Članak 5</w:t>
      </w:r>
      <w:r w:rsidRPr="00FA6EFD">
        <w:rPr>
          <w:rFonts w:cs="Arial"/>
          <w:b/>
          <w:lang w:val="hr-HR"/>
        </w:rPr>
        <w:t>.</w:t>
      </w:r>
    </w:p>
    <w:p w14:paraId="3B08E593" w14:textId="7ABFF541" w:rsidR="00180618" w:rsidRPr="00FA6EFD" w:rsidRDefault="00180618" w:rsidP="00180618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 xml:space="preserve">Korisnik se obvezuje odmah nakon završetka programa, a najkasnije do 31. </w:t>
      </w:r>
      <w:r w:rsidR="00C43A04">
        <w:rPr>
          <w:rFonts w:cs="Arial"/>
          <w:lang w:val="hr-HR"/>
        </w:rPr>
        <w:t>siječnja 2024</w:t>
      </w:r>
      <w:bookmarkStart w:id="0" w:name="_GoBack"/>
      <w:bookmarkEnd w:id="0"/>
      <w:r w:rsidRPr="00FA6EFD">
        <w:rPr>
          <w:rFonts w:cs="Arial"/>
          <w:lang w:val="hr-HR"/>
        </w:rPr>
        <w:t xml:space="preserve">. godine dostaviti Županiji izvješće o ostvarenom programu za </w:t>
      </w:r>
      <w:r w:rsidR="00427354">
        <w:rPr>
          <w:rFonts w:cs="Arial"/>
          <w:lang w:val="hr-HR"/>
        </w:rPr>
        <w:t>2023</w:t>
      </w:r>
      <w:r w:rsidRPr="00FA6EFD">
        <w:rPr>
          <w:rFonts w:cs="Arial"/>
          <w:lang w:val="hr-HR"/>
        </w:rPr>
        <w:t>. godinu sa specifikacijom svih utrošenih sredstava.</w:t>
      </w:r>
    </w:p>
    <w:p w14:paraId="5F5C03DB" w14:textId="77777777" w:rsidR="00180618" w:rsidRPr="00FA6EFD" w:rsidRDefault="00180618" w:rsidP="00364AEB">
      <w:pPr>
        <w:pStyle w:val="BodyText"/>
        <w:jc w:val="both"/>
        <w:rPr>
          <w:rFonts w:cs="Arial"/>
          <w:b/>
          <w:lang w:val="hr-HR"/>
        </w:rPr>
      </w:pPr>
    </w:p>
    <w:p w14:paraId="680CBF06" w14:textId="77777777" w:rsidR="00364AEB" w:rsidRPr="00FA6EFD" w:rsidRDefault="00180618" w:rsidP="00364AEB">
      <w:pPr>
        <w:pStyle w:val="BodyText"/>
        <w:outlineLvl w:val="0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Članak 6</w:t>
      </w:r>
      <w:r w:rsidR="00364AEB" w:rsidRPr="00FA6EFD">
        <w:rPr>
          <w:rFonts w:cs="Arial"/>
          <w:b/>
          <w:lang w:val="hr-HR"/>
        </w:rPr>
        <w:t>.</w:t>
      </w:r>
    </w:p>
    <w:p w14:paraId="4C093A8C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>Županija zadržava pravo kontrole utroška sredstava iz članka 2. ovog Ugovora, koju može izvršiti preko ovlaštenih predstavnika. Kontrola se može izvršiti u svako doba, a Korisnik ima obvezu predočenja svih potrebnih dokumenata vezanih za korištenje doznačenih sredstava.</w:t>
      </w:r>
    </w:p>
    <w:p w14:paraId="1917DFE2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</w:p>
    <w:p w14:paraId="43F49E78" w14:textId="77777777" w:rsidR="00364AEB" w:rsidRPr="00FA6EFD" w:rsidRDefault="00180618" w:rsidP="00364AEB">
      <w:pPr>
        <w:pStyle w:val="BodyText"/>
        <w:outlineLvl w:val="0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Članak 7</w:t>
      </w:r>
      <w:r w:rsidR="00364AEB" w:rsidRPr="00FA6EFD">
        <w:rPr>
          <w:rFonts w:cs="Arial"/>
          <w:b/>
          <w:lang w:val="hr-HR"/>
        </w:rPr>
        <w:t>.</w:t>
      </w:r>
    </w:p>
    <w:p w14:paraId="1A70325E" w14:textId="32A40265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 xml:space="preserve">Ako se ukupni prihodi Proračuna Primorsko-goranske županije za </w:t>
      </w:r>
      <w:r w:rsidR="00427354">
        <w:rPr>
          <w:rFonts w:cs="Arial"/>
          <w:lang w:val="hr-HR"/>
        </w:rPr>
        <w:t>2023</w:t>
      </w:r>
      <w:r w:rsidRPr="00FA6EFD">
        <w:rPr>
          <w:rFonts w:cs="Arial"/>
          <w:lang w:val="hr-HR"/>
        </w:rPr>
        <w:t xml:space="preserve">. godinu ostvare ispod planiranih, ugovorne su strane suglasne da se sredstva namijenjena sufinanciranju programa Korisnika razmjerno umanje. </w:t>
      </w:r>
    </w:p>
    <w:p w14:paraId="5D4912A5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>Ugovorne strane suglasno utvrđuju da, u slučaju nastupa navedenih okolnosti, neće sklapati dodatak ovom Ugovoru</w:t>
      </w:r>
      <w:r w:rsidR="00532196">
        <w:rPr>
          <w:rFonts w:cs="Arial"/>
          <w:lang w:val="hr-HR"/>
        </w:rPr>
        <w:t xml:space="preserve">, </w:t>
      </w:r>
      <w:r w:rsidRPr="00FA6EFD">
        <w:rPr>
          <w:rFonts w:cs="Arial"/>
          <w:lang w:val="hr-HR"/>
        </w:rPr>
        <w:t>već će Županija o istome Korisnika obavijestiti pisanim putem.</w:t>
      </w:r>
    </w:p>
    <w:p w14:paraId="575D1D41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</w:p>
    <w:p w14:paraId="2A38343C" w14:textId="77777777" w:rsidR="00364AEB" w:rsidRPr="00FA6EFD" w:rsidRDefault="00180618" w:rsidP="00364AEB">
      <w:pPr>
        <w:pStyle w:val="BodyText"/>
        <w:outlineLvl w:val="0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Članak 8</w:t>
      </w:r>
      <w:r w:rsidR="00364AEB" w:rsidRPr="00FA6EFD">
        <w:rPr>
          <w:rFonts w:cs="Arial"/>
          <w:b/>
          <w:lang w:val="hr-HR"/>
        </w:rPr>
        <w:t>.</w:t>
      </w:r>
    </w:p>
    <w:p w14:paraId="4938B1AC" w14:textId="77777777" w:rsidR="00364AEB" w:rsidRPr="00FA6EFD" w:rsidRDefault="00364AEB" w:rsidP="00364AEB">
      <w:pPr>
        <w:pStyle w:val="BodyText"/>
        <w:jc w:val="both"/>
        <w:outlineLvl w:val="0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>Eventualne sporove iz ovog Ugovora rješavat će stvarno nadležni sud u Rijeci.</w:t>
      </w:r>
    </w:p>
    <w:p w14:paraId="1F04DF17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</w:p>
    <w:p w14:paraId="18EF3366" w14:textId="77777777" w:rsidR="00364AEB" w:rsidRPr="00FA6EFD" w:rsidRDefault="00180618" w:rsidP="00364AEB">
      <w:pPr>
        <w:pStyle w:val="BodyText"/>
        <w:outlineLvl w:val="0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>Članak 9</w:t>
      </w:r>
      <w:r w:rsidR="00364AEB" w:rsidRPr="00FA6EFD">
        <w:rPr>
          <w:rFonts w:cs="Arial"/>
          <w:b/>
          <w:lang w:val="hr-HR"/>
        </w:rPr>
        <w:t>.</w:t>
      </w:r>
    </w:p>
    <w:p w14:paraId="2B9392D1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  <w:r w:rsidRPr="00FA6EFD">
        <w:rPr>
          <w:rFonts w:cs="Arial"/>
          <w:lang w:val="hr-HR"/>
        </w:rPr>
        <w:tab/>
        <w:t>Ovaj Ugovor je sastavljen u tri (3) istovjetna primjerk</w:t>
      </w:r>
      <w:r w:rsidR="00EF0E41">
        <w:rPr>
          <w:rFonts w:cs="Arial"/>
          <w:lang w:val="hr-HR"/>
        </w:rPr>
        <w:t xml:space="preserve">a, od kojih </w:t>
      </w:r>
      <w:r w:rsidRPr="00FA6EFD">
        <w:rPr>
          <w:rFonts w:cs="Arial"/>
          <w:lang w:val="hr-HR"/>
        </w:rPr>
        <w:t>Korisnik zadržava jedan (1)</w:t>
      </w:r>
      <w:r w:rsidR="00EF0E41">
        <w:rPr>
          <w:rFonts w:cs="Arial"/>
          <w:lang w:val="hr-HR"/>
        </w:rPr>
        <w:t>,</w:t>
      </w:r>
      <w:r w:rsidRPr="00FA6EFD">
        <w:rPr>
          <w:rFonts w:cs="Arial"/>
          <w:lang w:val="hr-HR"/>
        </w:rPr>
        <w:t xml:space="preserve"> a Županija dva (2) primjerka.  </w:t>
      </w:r>
    </w:p>
    <w:p w14:paraId="57742FB2" w14:textId="77777777" w:rsidR="00364AEB" w:rsidRPr="00FA6EFD" w:rsidRDefault="00364AEB" w:rsidP="00364AEB">
      <w:pPr>
        <w:pStyle w:val="BodyText"/>
        <w:jc w:val="both"/>
        <w:rPr>
          <w:rFonts w:cs="Arial"/>
          <w:lang w:val="hr-HR"/>
        </w:rPr>
      </w:pPr>
    </w:p>
    <w:p w14:paraId="4ADA0801" w14:textId="77777777" w:rsidR="00735600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lang w:val="hr-HR"/>
        </w:rPr>
      </w:pPr>
    </w:p>
    <w:p w14:paraId="2971EAD4" w14:textId="77777777" w:rsidR="00364AEB" w:rsidRPr="00FA6EFD" w:rsidRDefault="00735600" w:rsidP="00427354">
      <w:pPr>
        <w:pStyle w:val="BodyText"/>
        <w:tabs>
          <w:tab w:val="center" w:pos="1418"/>
          <w:tab w:val="center" w:pos="6804"/>
        </w:tabs>
        <w:jc w:val="both"/>
        <w:rPr>
          <w:rFonts w:cs="Arial"/>
          <w:lang w:val="hr-HR"/>
        </w:rPr>
      </w:pPr>
      <w:r>
        <w:rPr>
          <w:rFonts w:cs="Arial"/>
          <w:lang w:val="hr-HR"/>
        </w:rPr>
        <w:tab/>
        <w:t>Za Korisnika</w:t>
      </w:r>
      <w:r>
        <w:rPr>
          <w:rFonts w:cs="Arial"/>
          <w:lang w:val="hr-HR"/>
        </w:rPr>
        <w:tab/>
      </w:r>
      <w:r w:rsidR="005D0425">
        <w:rPr>
          <w:rFonts w:cs="Arial"/>
          <w:lang w:val="hr-HR"/>
        </w:rPr>
        <w:t>Za Primorsku goransku županiju</w:t>
      </w:r>
    </w:p>
    <w:p w14:paraId="124A800A" w14:textId="273D6C2B" w:rsidR="00BD5524" w:rsidRPr="00BD5524" w:rsidRDefault="00735600" w:rsidP="00BD5524">
      <w:pPr>
        <w:pStyle w:val="BodyText"/>
        <w:tabs>
          <w:tab w:val="center" w:pos="1080"/>
          <w:tab w:val="center" w:pos="6804"/>
        </w:tabs>
        <w:jc w:val="both"/>
        <w:rPr>
          <w:rFonts w:cs="Arial"/>
          <w:lang w:val="hr-HR"/>
        </w:rPr>
      </w:pP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proofErr w:type="spellStart"/>
      <w:r w:rsidR="00F02C17">
        <w:rPr>
          <w:rFonts w:cs="Arial"/>
          <w:lang w:val="hr-HR"/>
        </w:rPr>
        <w:t>p.o</w:t>
      </w:r>
      <w:proofErr w:type="spellEnd"/>
      <w:r w:rsidR="00F02C17">
        <w:rPr>
          <w:rFonts w:cs="Arial"/>
          <w:lang w:val="hr-HR"/>
        </w:rPr>
        <w:t xml:space="preserve">. </w:t>
      </w:r>
      <w:r w:rsidR="005A5399">
        <w:rPr>
          <w:rFonts w:cs="Arial"/>
          <w:lang w:val="hr-HR"/>
        </w:rPr>
        <w:t>P</w:t>
      </w:r>
      <w:r w:rsidR="00BD5524" w:rsidRPr="00BD5524">
        <w:rPr>
          <w:rFonts w:cs="Arial"/>
          <w:lang w:val="hr-HR"/>
        </w:rPr>
        <w:t>ro</w:t>
      </w:r>
      <w:r w:rsidR="00BD5524" w:rsidRPr="00BD5524">
        <w:rPr>
          <w:rFonts w:cs="Arial" w:hint="eastAsia"/>
          <w:lang w:val="hr-HR"/>
        </w:rPr>
        <w:t>č</w:t>
      </w:r>
      <w:r w:rsidR="0006167E">
        <w:rPr>
          <w:rFonts w:cs="Arial"/>
          <w:lang w:val="hr-HR"/>
        </w:rPr>
        <w:t>elnik/Pročelnica</w:t>
      </w:r>
      <w:r w:rsidR="00BD5524" w:rsidRPr="00BD5524">
        <w:rPr>
          <w:rFonts w:cs="Arial"/>
          <w:lang w:val="hr-HR"/>
        </w:rPr>
        <w:t xml:space="preserve"> Upravnog odjela </w:t>
      </w:r>
    </w:p>
    <w:p w14:paraId="4F1EBBE0" w14:textId="77777777" w:rsidR="00735600" w:rsidRDefault="00BD5524" w:rsidP="00BD5524">
      <w:pPr>
        <w:pStyle w:val="BodyText"/>
        <w:tabs>
          <w:tab w:val="center" w:pos="1080"/>
          <w:tab w:val="center" w:pos="6804"/>
        </w:tabs>
        <w:jc w:val="both"/>
        <w:rPr>
          <w:rFonts w:cs="Arial"/>
          <w:lang w:val="hr-HR"/>
        </w:rPr>
      </w:pPr>
      <w:r w:rsidRPr="00BD5524">
        <w:rPr>
          <w:rFonts w:cs="Arial"/>
          <w:lang w:val="hr-HR"/>
        </w:rPr>
        <w:tab/>
      </w:r>
      <w:r w:rsidRPr="00BD5524">
        <w:rPr>
          <w:rFonts w:cs="Arial"/>
          <w:lang w:val="hr-HR"/>
        </w:rPr>
        <w:tab/>
        <w:t>za kulturu, sport i tehni</w:t>
      </w:r>
      <w:r w:rsidRPr="00BD5524">
        <w:rPr>
          <w:rFonts w:cs="Arial" w:hint="eastAsia"/>
          <w:lang w:val="hr-HR"/>
        </w:rPr>
        <w:t>č</w:t>
      </w:r>
      <w:r w:rsidRPr="00BD5524">
        <w:rPr>
          <w:rFonts w:cs="Arial"/>
          <w:lang w:val="hr-HR"/>
        </w:rPr>
        <w:t>ku kulturu</w:t>
      </w:r>
    </w:p>
    <w:p w14:paraId="691A5BB6" w14:textId="77777777" w:rsidR="00735600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lang w:val="hr-HR"/>
        </w:rPr>
      </w:pPr>
    </w:p>
    <w:p w14:paraId="333D3F11" w14:textId="0545E719" w:rsidR="00364AEB" w:rsidRPr="00FA6EFD" w:rsidRDefault="005D0425" w:rsidP="00427354">
      <w:pPr>
        <w:pStyle w:val="BodyText"/>
        <w:tabs>
          <w:tab w:val="center" w:pos="1418"/>
          <w:tab w:val="center" w:pos="6804"/>
        </w:tabs>
        <w:jc w:val="both"/>
        <w:rPr>
          <w:rFonts w:cs="Arial"/>
          <w:lang w:val="hr-HR"/>
        </w:rPr>
      </w:pPr>
      <w:r w:rsidRPr="00FA6EFD">
        <w:rPr>
          <w:rFonts w:cs="Arial"/>
          <w:u w:val="single"/>
          <w:lang w:val="hr-HR"/>
        </w:rPr>
        <w:t>_______________</w:t>
      </w:r>
      <w:r w:rsidR="0038425B">
        <w:rPr>
          <w:rFonts w:cs="Arial"/>
          <w:u w:val="single"/>
          <w:lang w:val="hr-HR"/>
        </w:rPr>
        <w:t>__</w:t>
      </w:r>
      <w:r w:rsidR="00735600">
        <w:rPr>
          <w:rFonts w:cs="Arial"/>
          <w:lang w:val="hr-HR"/>
        </w:rPr>
        <w:tab/>
      </w:r>
      <w:r w:rsidRPr="00FA6EFD">
        <w:rPr>
          <w:rFonts w:cs="Arial"/>
          <w:u w:val="single"/>
          <w:lang w:val="hr-HR"/>
        </w:rPr>
        <w:t>_______________</w:t>
      </w:r>
      <w:r w:rsidR="0038425B">
        <w:rPr>
          <w:rFonts w:cs="Arial"/>
          <w:u w:val="single"/>
          <w:lang w:val="hr-HR"/>
        </w:rPr>
        <w:t>__</w:t>
      </w:r>
    </w:p>
    <w:p w14:paraId="1F1DB394" w14:textId="77777777" w:rsidR="00427354" w:rsidRDefault="005D0425" w:rsidP="00427354">
      <w:pPr>
        <w:pStyle w:val="BodyText"/>
        <w:tabs>
          <w:tab w:val="center" w:pos="1418"/>
          <w:tab w:val="center" w:pos="6804"/>
        </w:tabs>
        <w:jc w:val="both"/>
        <w:rPr>
          <w:rFonts w:cs="Arial"/>
          <w:lang w:val="hr-HR"/>
        </w:rPr>
      </w:pPr>
      <w:r>
        <w:rPr>
          <w:rFonts w:cs="Arial"/>
          <w:lang w:val="hr-HR"/>
        </w:rPr>
        <w:tab/>
      </w:r>
      <w:r w:rsidR="00427354">
        <w:rPr>
          <w:rFonts w:cs="Arial"/>
          <w:lang w:val="hr-HR"/>
        </w:rPr>
        <w:t xml:space="preserve">Ime i prezime </w:t>
      </w:r>
    </w:p>
    <w:p w14:paraId="4FA942DF" w14:textId="086F801B" w:rsidR="00364AEB" w:rsidRPr="00FA6EFD" w:rsidRDefault="00427354" w:rsidP="00427354">
      <w:pPr>
        <w:pStyle w:val="BodyText"/>
        <w:tabs>
          <w:tab w:val="center" w:pos="1418"/>
          <w:tab w:val="center" w:pos="6804"/>
        </w:tabs>
        <w:jc w:val="both"/>
        <w:rPr>
          <w:rFonts w:cs="Arial"/>
          <w:lang w:val="hr-HR"/>
        </w:rPr>
      </w:pPr>
      <w:r>
        <w:rPr>
          <w:rFonts w:cs="Arial"/>
          <w:lang w:val="hr-HR"/>
        </w:rPr>
        <w:t>osobe ovlaštene za zastupanje</w:t>
      </w:r>
      <w:r w:rsidR="00735600">
        <w:rPr>
          <w:rFonts w:cs="Arial"/>
          <w:lang w:val="hr-HR"/>
        </w:rPr>
        <w:tab/>
      </w:r>
    </w:p>
    <w:p w14:paraId="2B773ABB" w14:textId="77777777" w:rsidR="00364AEB" w:rsidRPr="00FA6EFD" w:rsidRDefault="00364AEB" w:rsidP="00364AEB">
      <w:pPr>
        <w:pStyle w:val="BodyText"/>
        <w:ind w:left="3600" w:firstLine="720"/>
        <w:jc w:val="both"/>
        <w:rPr>
          <w:rFonts w:cs="Arial"/>
          <w:lang w:val="hr-HR"/>
        </w:rPr>
      </w:pPr>
    </w:p>
    <w:p w14:paraId="1814E9FC" w14:textId="77777777" w:rsidR="005D0425" w:rsidRDefault="00364AEB" w:rsidP="00364AEB">
      <w:pPr>
        <w:pStyle w:val="BodyText"/>
        <w:ind w:left="3600" w:firstLine="720"/>
        <w:jc w:val="both"/>
        <w:outlineLvl w:val="0"/>
        <w:rPr>
          <w:rFonts w:cs="Arial"/>
          <w:lang w:val="hr-HR"/>
        </w:rPr>
      </w:pPr>
      <w:r w:rsidRPr="00FA6EFD">
        <w:rPr>
          <w:rFonts w:cs="Arial"/>
          <w:lang w:val="hr-HR"/>
        </w:rPr>
        <w:t xml:space="preserve">                  </w:t>
      </w:r>
    </w:p>
    <w:p w14:paraId="7561180C" w14:textId="77777777" w:rsidR="00A157E8" w:rsidRDefault="005D0425" w:rsidP="005D0425">
      <w:pPr>
        <w:pStyle w:val="BodyText"/>
        <w:jc w:val="both"/>
        <w:outlineLvl w:val="0"/>
        <w:rPr>
          <w:rFonts w:cs="Arial"/>
          <w:lang w:val="hr-HR"/>
        </w:rPr>
      </w:pP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</w:p>
    <w:p w14:paraId="28E48AB5" w14:textId="4EA0B004" w:rsidR="005D0425" w:rsidRDefault="00CE7DF0" w:rsidP="00A157E8">
      <w:pPr>
        <w:pStyle w:val="BodyText"/>
        <w:ind w:left="4963" w:firstLine="709"/>
        <w:jc w:val="both"/>
        <w:outlineLvl w:val="0"/>
        <w:rPr>
          <w:rFonts w:cs="Arial"/>
          <w:lang w:val="hr-HR"/>
        </w:rPr>
      </w:pPr>
      <w:r>
        <w:rPr>
          <w:rFonts w:cs="Arial"/>
          <w:lang w:val="hr-HR"/>
        </w:rPr>
        <w:t>KLASA</w:t>
      </w:r>
      <w:r w:rsidR="00364AEB" w:rsidRPr="00FA6EFD">
        <w:rPr>
          <w:rFonts w:cs="Arial"/>
          <w:lang w:val="hr-HR"/>
        </w:rPr>
        <w:t xml:space="preserve">: </w:t>
      </w:r>
    </w:p>
    <w:p w14:paraId="62AA0F74" w14:textId="26881BD6" w:rsidR="00364AEB" w:rsidRPr="002C5242" w:rsidRDefault="005D0425" w:rsidP="002C5242">
      <w:pPr>
        <w:pStyle w:val="BodyText"/>
        <w:jc w:val="both"/>
        <w:outlineLvl w:val="0"/>
        <w:rPr>
          <w:rFonts w:cs="Arial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E7DF0">
        <w:rPr>
          <w:lang w:val="hr-HR"/>
        </w:rPr>
        <w:t>URBROJ</w:t>
      </w:r>
      <w:r w:rsidR="00F02C17">
        <w:rPr>
          <w:lang w:val="hr-HR"/>
        </w:rPr>
        <w:t xml:space="preserve">: </w:t>
      </w:r>
    </w:p>
    <w:sectPr w:rsidR="00364AEB" w:rsidRPr="002C5242" w:rsidSect="002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19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457DA3"/>
    <w:multiLevelType w:val="hybridMultilevel"/>
    <w:tmpl w:val="DFD0F3C4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862686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940172E"/>
    <w:multiLevelType w:val="hybridMultilevel"/>
    <w:tmpl w:val="2162E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74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DBB160B"/>
    <w:multiLevelType w:val="hybridMultilevel"/>
    <w:tmpl w:val="A52AEDB0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80B3ACC"/>
    <w:multiLevelType w:val="hybridMultilevel"/>
    <w:tmpl w:val="DF1244A2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5C25CCC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A7A7CF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E514263"/>
    <w:multiLevelType w:val="hybridMultilevel"/>
    <w:tmpl w:val="3970E9AC"/>
    <w:lvl w:ilvl="0" w:tplc="0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B"/>
    <w:rsid w:val="000133A6"/>
    <w:rsid w:val="000422F3"/>
    <w:rsid w:val="00052672"/>
    <w:rsid w:val="00057196"/>
    <w:rsid w:val="0006167E"/>
    <w:rsid w:val="00062C48"/>
    <w:rsid w:val="000E3F28"/>
    <w:rsid w:val="00165E69"/>
    <w:rsid w:val="00173436"/>
    <w:rsid w:val="00180618"/>
    <w:rsid w:val="00194353"/>
    <w:rsid w:val="001D0F89"/>
    <w:rsid w:val="001D645E"/>
    <w:rsid w:val="00213B37"/>
    <w:rsid w:val="00242542"/>
    <w:rsid w:val="002C5242"/>
    <w:rsid w:val="002E7584"/>
    <w:rsid w:val="00326B64"/>
    <w:rsid w:val="00364AEB"/>
    <w:rsid w:val="00367890"/>
    <w:rsid w:val="003765D7"/>
    <w:rsid w:val="0038425B"/>
    <w:rsid w:val="0039226C"/>
    <w:rsid w:val="003B319D"/>
    <w:rsid w:val="0040206D"/>
    <w:rsid w:val="00427354"/>
    <w:rsid w:val="0043741D"/>
    <w:rsid w:val="00490160"/>
    <w:rsid w:val="004F7DD5"/>
    <w:rsid w:val="005102D5"/>
    <w:rsid w:val="00526AF5"/>
    <w:rsid w:val="00532196"/>
    <w:rsid w:val="0056329D"/>
    <w:rsid w:val="005A3BAE"/>
    <w:rsid w:val="005A5399"/>
    <w:rsid w:val="005B0413"/>
    <w:rsid w:val="005D0425"/>
    <w:rsid w:val="005F66C5"/>
    <w:rsid w:val="0062035C"/>
    <w:rsid w:val="006276E9"/>
    <w:rsid w:val="00685469"/>
    <w:rsid w:val="006A5F45"/>
    <w:rsid w:val="00721E61"/>
    <w:rsid w:val="00735600"/>
    <w:rsid w:val="00740FBA"/>
    <w:rsid w:val="007B14D3"/>
    <w:rsid w:val="007C382F"/>
    <w:rsid w:val="007E13E6"/>
    <w:rsid w:val="00834DC0"/>
    <w:rsid w:val="00851DD9"/>
    <w:rsid w:val="008747FB"/>
    <w:rsid w:val="008832F8"/>
    <w:rsid w:val="008C6B99"/>
    <w:rsid w:val="009202F2"/>
    <w:rsid w:val="00936ED8"/>
    <w:rsid w:val="009F1272"/>
    <w:rsid w:val="009F7A31"/>
    <w:rsid w:val="00A157E8"/>
    <w:rsid w:val="00A17749"/>
    <w:rsid w:val="00A50B96"/>
    <w:rsid w:val="00A55A75"/>
    <w:rsid w:val="00A706A0"/>
    <w:rsid w:val="00A7566B"/>
    <w:rsid w:val="00AA66E7"/>
    <w:rsid w:val="00AE18B4"/>
    <w:rsid w:val="00AF2082"/>
    <w:rsid w:val="00B140AF"/>
    <w:rsid w:val="00B30350"/>
    <w:rsid w:val="00B47831"/>
    <w:rsid w:val="00BB3450"/>
    <w:rsid w:val="00BC3519"/>
    <w:rsid w:val="00BD5524"/>
    <w:rsid w:val="00C43A04"/>
    <w:rsid w:val="00C972E0"/>
    <w:rsid w:val="00CE7DF0"/>
    <w:rsid w:val="00CF59FC"/>
    <w:rsid w:val="00D20E0D"/>
    <w:rsid w:val="00DA0C7A"/>
    <w:rsid w:val="00DB38F8"/>
    <w:rsid w:val="00DC67F8"/>
    <w:rsid w:val="00DE6545"/>
    <w:rsid w:val="00E4537D"/>
    <w:rsid w:val="00E50844"/>
    <w:rsid w:val="00EC2C96"/>
    <w:rsid w:val="00ED24AA"/>
    <w:rsid w:val="00EF0E41"/>
    <w:rsid w:val="00F02C17"/>
    <w:rsid w:val="00F7486C"/>
    <w:rsid w:val="00F75990"/>
    <w:rsid w:val="00F9544C"/>
    <w:rsid w:val="00FA56DC"/>
    <w:rsid w:val="00FB4C1E"/>
    <w:rsid w:val="00FB72AC"/>
    <w:rsid w:val="00FE70AF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6CEF"/>
  <w15:docId w15:val="{B4A7CCE4-0B44-4893-AD8F-1525BD2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jc w:val="both"/>
    </w:pPr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4AEB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364AEB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64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364AEB"/>
    <w:rPr>
      <w:rFonts w:ascii="Courier" w:hAnsi="Courier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40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F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Primorsko-goranska županija, Adamićeva 10, Rijeka, zastupana po županu Zlatku Komadini, dipl</vt:lpstr>
      <vt:lpstr>Primorsko-goranska županija, Adamićeva 10, Rijeka, zastupana po županu Zlatku Komadini, dipl</vt:lpstr>
    </vt:vector>
  </TitlesOfParts>
  <Company>pgz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županija, Adamićeva 10, Rijeka, zastupana po županu Zlatku Komadini, dipl</dc:title>
  <dc:creator>NikolaJ</dc:creator>
  <cp:lastModifiedBy>Sanjin Dragozetić</cp:lastModifiedBy>
  <cp:revision>3</cp:revision>
  <cp:lastPrinted>2022-07-19T06:26:00Z</cp:lastPrinted>
  <dcterms:created xsi:type="dcterms:W3CDTF">2023-04-18T08:08:00Z</dcterms:created>
  <dcterms:modified xsi:type="dcterms:W3CDTF">2023-04-18T11:34:00Z</dcterms:modified>
</cp:coreProperties>
</file>