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1F" w:rsidRPr="00AF401F" w:rsidRDefault="00AF401F" w:rsidP="00AF401F">
      <w:pPr>
        <w:autoSpaceDE w:val="0"/>
        <w:autoSpaceDN w:val="0"/>
        <w:adjustRightInd w:val="0"/>
        <w:spacing w:after="60"/>
        <w:rPr>
          <w:rFonts w:ascii="Verdana" w:hAnsi="Verdana"/>
          <w:b/>
          <w:i w:val="0"/>
          <w:szCs w:val="22"/>
          <w:lang w:eastAsia="hr-HR"/>
        </w:rPr>
      </w:pPr>
      <w:r w:rsidRPr="00AF401F">
        <w:rPr>
          <w:rFonts w:ascii="Verdana" w:hAnsi="Verdana"/>
          <w:b/>
          <w:i w:val="0"/>
          <w:szCs w:val="22"/>
          <w:lang w:eastAsia="hr-HR"/>
        </w:rPr>
        <w:t>NAJBOLJI INOVATORI PRIMORSKO-GORANSKE ŽUPANIJE ZA 2019. godinu</w:t>
      </w:r>
    </w:p>
    <w:p w:rsidR="00AF401F" w:rsidRDefault="00AF401F" w:rsidP="00AF401F">
      <w:pPr>
        <w:autoSpaceDE w:val="0"/>
        <w:autoSpaceDN w:val="0"/>
        <w:adjustRightInd w:val="0"/>
        <w:spacing w:after="60"/>
        <w:rPr>
          <w:rFonts w:ascii="Verdana" w:hAnsi="Verdana"/>
          <w:i w:val="0"/>
          <w:szCs w:val="22"/>
          <w:lang w:eastAsia="hr-HR"/>
        </w:rPr>
      </w:pPr>
      <w:r w:rsidRPr="00607153">
        <w:rPr>
          <w:rFonts w:ascii="Verdana" w:hAnsi="Verdana"/>
          <w:i w:val="0"/>
          <w:szCs w:val="22"/>
          <w:lang w:eastAsia="hr-HR"/>
        </w:rPr>
        <w:t xml:space="preserve">Prvih devet najboljih inovacija, </w:t>
      </w:r>
      <w:r>
        <w:rPr>
          <w:rFonts w:ascii="Verdana" w:hAnsi="Verdana"/>
          <w:i w:val="0"/>
          <w:szCs w:val="22"/>
          <w:lang w:eastAsia="hr-HR"/>
        </w:rPr>
        <w:t xml:space="preserve">s </w:t>
      </w:r>
      <w:r w:rsidRPr="00607153">
        <w:rPr>
          <w:rFonts w:ascii="Verdana" w:hAnsi="Verdana"/>
          <w:i w:val="0"/>
          <w:szCs w:val="22"/>
          <w:lang w:eastAsia="hr-HR"/>
        </w:rPr>
        <w:t>naz</w:t>
      </w:r>
      <w:r>
        <w:rPr>
          <w:rFonts w:ascii="Verdana" w:hAnsi="Verdana"/>
          <w:i w:val="0"/>
          <w:szCs w:val="22"/>
          <w:lang w:eastAsia="hr-HR"/>
        </w:rPr>
        <w:t>ivom i kratkim opisom inovacije:</w:t>
      </w:r>
    </w:p>
    <w:p w:rsidR="00AF401F" w:rsidRDefault="00AF401F" w:rsidP="00AF401F">
      <w:pPr>
        <w:autoSpaceDE w:val="0"/>
        <w:autoSpaceDN w:val="0"/>
        <w:adjustRightInd w:val="0"/>
        <w:spacing w:after="60"/>
        <w:rPr>
          <w:rFonts w:ascii="Verdana" w:hAnsi="Verdana"/>
          <w:i w:val="0"/>
          <w:szCs w:val="22"/>
          <w:lang w:eastAsia="hr-HR"/>
        </w:rPr>
      </w:pPr>
    </w:p>
    <w:p w:rsidR="00AF401F" w:rsidRDefault="00AF401F" w:rsidP="00AF401F">
      <w:pPr>
        <w:autoSpaceDE w:val="0"/>
        <w:autoSpaceDN w:val="0"/>
        <w:adjustRightInd w:val="0"/>
        <w:spacing w:after="60"/>
        <w:rPr>
          <w:rFonts w:ascii="Verdana" w:hAnsi="Verdana"/>
          <w:i w:val="0"/>
          <w:szCs w:val="22"/>
          <w:lang w:eastAsia="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6"/>
        <w:gridCol w:w="1878"/>
        <w:gridCol w:w="7648"/>
      </w:tblGrid>
      <w:tr w:rsidR="00AF401F" w:rsidRPr="00607153" w:rsidTr="00AE293C">
        <w:trPr>
          <w:jc w:val="center"/>
        </w:trPr>
        <w:tc>
          <w:tcPr>
            <w:tcW w:w="541" w:type="pct"/>
            <w:vAlign w:val="center"/>
          </w:tcPr>
          <w:p w:rsidR="00AF401F" w:rsidRDefault="00AF401F" w:rsidP="00AE293C">
            <w:pPr>
              <w:ind w:left="-180" w:right="-108" w:firstLine="72"/>
              <w:jc w:val="center"/>
              <w:rPr>
                <w:rFonts w:ascii="Verdana" w:hAnsi="Verdana"/>
                <w:b/>
                <w:i w:val="0"/>
                <w:szCs w:val="22"/>
              </w:rPr>
            </w:pPr>
            <w:r>
              <w:rPr>
                <w:rFonts w:ascii="Verdana" w:hAnsi="Verdana"/>
                <w:b/>
                <w:i w:val="0"/>
                <w:szCs w:val="22"/>
              </w:rPr>
              <w:t>.br./</w:t>
            </w:r>
          </w:p>
          <w:p w:rsidR="00AF401F" w:rsidRPr="00607153" w:rsidRDefault="00AF401F" w:rsidP="00AE293C">
            <w:pPr>
              <w:ind w:left="-180" w:right="-108" w:firstLine="72"/>
              <w:jc w:val="center"/>
              <w:rPr>
                <w:rFonts w:ascii="Verdana" w:hAnsi="Verdana"/>
                <w:b/>
                <w:i w:val="0"/>
                <w:szCs w:val="22"/>
              </w:rPr>
            </w:pPr>
            <w:r w:rsidRPr="00607153">
              <w:rPr>
                <w:rFonts w:ascii="Verdana" w:hAnsi="Verdana"/>
                <w:b/>
                <w:i w:val="0"/>
                <w:szCs w:val="22"/>
              </w:rPr>
              <w:t>Mjesto</w:t>
            </w:r>
          </w:p>
        </w:tc>
        <w:tc>
          <w:tcPr>
            <w:tcW w:w="879" w:type="pct"/>
            <w:vAlign w:val="center"/>
          </w:tcPr>
          <w:p w:rsidR="00AF401F" w:rsidRPr="00607153" w:rsidRDefault="00AF401F" w:rsidP="00AE293C">
            <w:pPr>
              <w:jc w:val="center"/>
              <w:rPr>
                <w:rFonts w:ascii="Verdana" w:hAnsi="Verdana"/>
                <w:b/>
                <w:i w:val="0"/>
                <w:szCs w:val="22"/>
              </w:rPr>
            </w:pPr>
            <w:r w:rsidRPr="00607153">
              <w:rPr>
                <w:rFonts w:ascii="Verdana" w:hAnsi="Verdana"/>
                <w:b/>
                <w:i w:val="0"/>
                <w:szCs w:val="22"/>
              </w:rPr>
              <w:t>INOVATOR</w:t>
            </w:r>
          </w:p>
        </w:tc>
        <w:tc>
          <w:tcPr>
            <w:tcW w:w="3580" w:type="pct"/>
            <w:vAlign w:val="center"/>
          </w:tcPr>
          <w:p w:rsidR="00AF401F" w:rsidRPr="00607153" w:rsidRDefault="00AF401F" w:rsidP="00AE293C">
            <w:pPr>
              <w:jc w:val="center"/>
              <w:rPr>
                <w:rFonts w:ascii="Verdana" w:hAnsi="Verdana"/>
                <w:b/>
                <w:i w:val="0"/>
                <w:szCs w:val="22"/>
              </w:rPr>
            </w:pPr>
            <w:r w:rsidRPr="00607153">
              <w:rPr>
                <w:rFonts w:ascii="Verdana" w:hAnsi="Verdana"/>
                <w:b/>
                <w:i w:val="0"/>
                <w:szCs w:val="22"/>
              </w:rPr>
              <w:t>NAZIV I KRATKI OPIS INOVACIJE</w:t>
            </w:r>
          </w:p>
        </w:tc>
      </w:tr>
      <w:tr w:rsidR="00AF401F" w:rsidRPr="00607153" w:rsidTr="00AE293C">
        <w:trPr>
          <w:trHeight w:val="557"/>
          <w:jc w:val="center"/>
        </w:trPr>
        <w:tc>
          <w:tcPr>
            <w:tcW w:w="541" w:type="pct"/>
            <w:vAlign w:val="center"/>
          </w:tcPr>
          <w:p w:rsidR="00AF401F" w:rsidRPr="00607153" w:rsidRDefault="00AF401F" w:rsidP="00AE293C">
            <w:pPr>
              <w:jc w:val="center"/>
              <w:rPr>
                <w:rFonts w:ascii="Verdana" w:hAnsi="Verdana"/>
                <w:b/>
                <w:i w:val="0"/>
                <w:szCs w:val="22"/>
              </w:rPr>
            </w:pPr>
            <w:r>
              <w:rPr>
                <w:rFonts w:ascii="Verdana" w:hAnsi="Verdana"/>
                <w:b/>
                <w:i w:val="0"/>
                <w:szCs w:val="22"/>
              </w:rPr>
              <w:t>1./#1</w:t>
            </w:r>
          </w:p>
        </w:tc>
        <w:tc>
          <w:tcPr>
            <w:tcW w:w="879" w:type="pct"/>
            <w:vAlign w:val="center"/>
          </w:tcPr>
          <w:p w:rsidR="00AF401F" w:rsidRPr="00607153" w:rsidRDefault="00AF401F" w:rsidP="00AE293C">
            <w:pPr>
              <w:rPr>
                <w:rFonts w:ascii="Verdana" w:hAnsi="Verdana"/>
                <w:i w:val="0"/>
                <w:szCs w:val="22"/>
              </w:rPr>
            </w:pPr>
            <w:r w:rsidRPr="00607153">
              <w:rPr>
                <w:rFonts w:ascii="Verdana" w:hAnsi="Verdana"/>
                <w:i w:val="0"/>
                <w:szCs w:val="22"/>
              </w:rPr>
              <w:t>DINO LENAZ</w:t>
            </w:r>
          </w:p>
        </w:tc>
        <w:tc>
          <w:tcPr>
            <w:tcW w:w="3580" w:type="pct"/>
            <w:vAlign w:val="center"/>
          </w:tcPr>
          <w:p w:rsidR="00AF401F" w:rsidRPr="00607153" w:rsidRDefault="00AF401F" w:rsidP="00AE293C">
            <w:pPr>
              <w:rPr>
                <w:rFonts w:ascii="Verdana" w:hAnsi="Verdana"/>
                <w:i w:val="0"/>
                <w:szCs w:val="22"/>
              </w:rPr>
            </w:pPr>
            <w:r w:rsidRPr="00607153">
              <w:rPr>
                <w:rFonts w:ascii="Verdana" w:hAnsi="Verdana"/>
                <w:b/>
                <w:i w:val="0"/>
                <w:szCs w:val="22"/>
              </w:rPr>
              <w:t>Mjerač temperaturne stabilnosti krvne plazme</w:t>
            </w:r>
            <w:r w:rsidRPr="00607153">
              <w:rPr>
                <w:rFonts w:ascii="Verdana" w:hAnsi="Verdana"/>
                <w:i w:val="0"/>
                <w:szCs w:val="22"/>
              </w:rPr>
              <w:t xml:space="preserve"> </w:t>
            </w:r>
          </w:p>
          <w:p w:rsidR="00AF401F" w:rsidRPr="00607153" w:rsidRDefault="00AF401F" w:rsidP="00AE293C">
            <w:pPr>
              <w:rPr>
                <w:rFonts w:ascii="Verdana" w:hAnsi="Verdana"/>
                <w:i w:val="0"/>
                <w:szCs w:val="22"/>
              </w:rPr>
            </w:pPr>
            <w:r w:rsidRPr="00607153">
              <w:rPr>
                <w:rFonts w:ascii="Verdana" w:hAnsi="Verdana"/>
                <w:i w:val="0"/>
                <w:szCs w:val="22"/>
              </w:rPr>
              <w:t>Koristi se za mjerenje unutar vrećice u kojoj se sprema. Obzirom na male dimenzije mjerača i čipa, mjerač temperaturne stabilnosti koristi se u svrhu kvalifikacije uređaja za testiranje brzine zamrzavanja krvne plazme što je od iznimne važnosti za transfuzijsku medicinu obzirom da krvna plazma mora biti točno na određenoj temperaturi kako bi se očuvala njena svojstva. Mjeračem znanstvenici u transfuzijskoj medicini mogu istražiti ukoliko na uređaju koji čuva krvnu plazmu ili na samom objektu transfuzije nestane struje, koliko dugo krvna plazma zadržava propisanu temperaturu te koliko se brzo odmrzava na sobnoj temperaturi.</w:t>
            </w:r>
          </w:p>
        </w:tc>
      </w:tr>
      <w:tr w:rsidR="00AF401F" w:rsidRPr="00607153" w:rsidTr="00AE293C">
        <w:trPr>
          <w:trHeight w:val="648"/>
          <w:jc w:val="center"/>
        </w:trPr>
        <w:tc>
          <w:tcPr>
            <w:tcW w:w="541" w:type="pct"/>
            <w:tcBorders>
              <w:bottom w:val="single" w:sz="4" w:space="0" w:color="auto"/>
            </w:tcBorders>
            <w:vAlign w:val="center"/>
          </w:tcPr>
          <w:p w:rsidR="00AF401F" w:rsidRPr="00607153" w:rsidRDefault="00AF401F" w:rsidP="00AE293C">
            <w:pPr>
              <w:jc w:val="center"/>
              <w:rPr>
                <w:rFonts w:ascii="Verdana" w:hAnsi="Verdana"/>
                <w:b/>
                <w:i w:val="0"/>
                <w:szCs w:val="22"/>
              </w:rPr>
            </w:pPr>
            <w:bookmarkStart w:id="0" w:name="_GoBack"/>
            <w:bookmarkEnd w:id="0"/>
            <w:r>
              <w:rPr>
                <w:rFonts w:ascii="Verdana" w:hAnsi="Verdana"/>
                <w:b/>
                <w:i w:val="0"/>
                <w:szCs w:val="22"/>
              </w:rPr>
              <w:t>2./#1</w:t>
            </w:r>
          </w:p>
        </w:tc>
        <w:tc>
          <w:tcPr>
            <w:tcW w:w="879" w:type="pct"/>
            <w:tcBorders>
              <w:bottom w:val="single" w:sz="4" w:space="0" w:color="auto"/>
            </w:tcBorders>
            <w:vAlign w:val="center"/>
          </w:tcPr>
          <w:p w:rsidR="00AF401F" w:rsidRPr="00607153" w:rsidRDefault="00AF401F" w:rsidP="00AE293C">
            <w:pPr>
              <w:rPr>
                <w:rFonts w:ascii="Verdana" w:hAnsi="Verdana"/>
                <w:i w:val="0"/>
                <w:szCs w:val="22"/>
              </w:rPr>
            </w:pPr>
            <w:r w:rsidRPr="00607153">
              <w:rPr>
                <w:rFonts w:ascii="Verdana" w:hAnsi="Verdana"/>
                <w:i w:val="0"/>
                <w:szCs w:val="22"/>
              </w:rPr>
              <w:t>IVAN BABIĆ</w:t>
            </w:r>
          </w:p>
        </w:tc>
        <w:tc>
          <w:tcPr>
            <w:tcW w:w="3580" w:type="pct"/>
            <w:tcBorders>
              <w:bottom w:val="single" w:sz="4" w:space="0" w:color="auto"/>
            </w:tcBorders>
            <w:vAlign w:val="center"/>
          </w:tcPr>
          <w:p w:rsidR="00AF401F" w:rsidRPr="00607153" w:rsidRDefault="00AF401F" w:rsidP="00AE293C">
            <w:pPr>
              <w:rPr>
                <w:rFonts w:ascii="Verdana" w:hAnsi="Verdana"/>
                <w:b/>
                <w:i w:val="0"/>
                <w:szCs w:val="22"/>
              </w:rPr>
            </w:pPr>
            <w:r w:rsidRPr="00607153">
              <w:rPr>
                <w:rFonts w:ascii="Verdana" w:hAnsi="Verdana"/>
                <w:b/>
                <w:i w:val="0"/>
                <w:szCs w:val="22"/>
              </w:rPr>
              <w:t>NOCTURIGLOW- svjetleća guska za uriniranje</w:t>
            </w:r>
          </w:p>
          <w:p w:rsidR="00AF401F" w:rsidRPr="00607153" w:rsidRDefault="00AF401F" w:rsidP="00AE293C">
            <w:pPr>
              <w:rPr>
                <w:rFonts w:ascii="Verdana" w:hAnsi="Verdana"/>
                <w:i w:val="0"/>
                <w:szCs w:val="22"/>
              </w:rPr>
            </w:pPr>
            <w:r w:rsidRPr="00607153">
              <w:rPr>
                <w:rFonts w:ascii="Verdana" w:hAnsi="Verdana"/>
                <w:i w:val="0"/>
                <w:szCs w:val="22"/>
              </w:rPr>
              <w:t>Nepokretnim i slabo pokretnim osobama s potrebom za uriniranjem po noći omogućuje jednostavno i sigurno pražnjenje mjehura iz udobnosti kreveta koristeći svjetleće svojstvo fosforescentnog materijala.</w:t>
            </w:r>
          </w:p>
        </w:tc>
      </w:tr>
      <w:tr w:rsidR="00AF401F" w:rsidRPr="00607153" w:rsidTr="00AE293C">
        <w:trPr>
          <w:trHeight w:val="1134"/>
          <w:jc w:val="center"/>
        </w:trPr>
        <w:tc>
          <w:tcPr>
            <w:tcW w:w="541" w:type="pct"/>
            <w:tcBorders>
              <w:bottom w:val="single" w:sz="18" w:space="0" w:color="auto"/>
            </w:tcBorders>
            <w:vAlign w:val="center"/>
          </w:tcPr>
          <w:p w:rsidR="00AF401F" w:rsidRPr="00607153" w:rsidRDefault="00AF401F" w:rsidP="00AE293C">
            <w:pPr>
              <w:jc w:val="center"/>
              <w:rPr>
                <w:rFonts w:ascii="Verdana" w:hAnsi="Verdana"/>
                <w:b/>
                <w:i w:val="0"/>
                <w:szCs w:val="22"/>
              </w:rPr>
            </w:pPr>
            <w:r>
              <w:rPr>
                <w:rFonts w:ascii="Verdana" w:hAnsi="Verdana"/>
                <w:b/>
                <w:i w:val="0"/>
                <w:szCs w:val="22"/>
              </w:rPr>
              <w:t>3./#1</w:t>
            </w:r>
          </w:p>
        </w:tc>
        <w:tc>
          <w:tcPr>
            <w:tcW w:w="879" w:type="pct"/>
            <w:tcBorders>
              <w:bottom w:val="single" w:sz="18" w:space="0" w:color="auto"/>
            </w:tcBorders>
            <w:vAlign w:val="center"/>
          </w:tcPr>
          <w:p w:rsidR="00AF401F" w:rsidRPr="00607153" w:rsidRDefault="00AF401F" w:rsidP="00AE293C">
            <w:pPr>
              <w:rPr>
                <w:rFonts w:ascii="Verdana" w:hAnsi="Verdana"/>
                <w:i w:val="0"/>
                <w:szCs w:val="22"/>
              </w:rPr>
            </w:pPr>
            <w:r w:rsidRPr="00607153">
              <w:rPr>
                <w:rFonts w:ascii="Verdana" w:hAnsi="Verdana"/>
                <w:i w:val="0"/>
                <w:szCs w:val="22"/>
              </w:rPr>
              <w:t>ROBERT STUPIČIĆ</w:t>
            </w:r>
          </w:p>
        </w:tc>
        <w:tc>
          <w:tcPr>
            <w:tcW w:w="3580" w:type="pct"/>
            <w:tcBorders>
              <w:bottom w:val="single" w:sz="18" w:space="0" w:color="auto"/>
            </w:tcBorders>
            <w:vAlign w:val="center"/>
          </w:tcPr>
          <w:p w:rsidR="00AF401F" w:rsidRPr="00607153" w:rsidRDefault="00AF401F" w:rsidP="00AE293C">
            <w:pPr>
              <w:rPr>
                <w:rFonts w:ascii="Verdana" w:hAnsi="Verdana"/>
                <w:b/>
                <w:i w:val="0"/>
                <w:szCs w:val="22"/>
              </w:rPr>
            </w:pPr>
            <w:r w:rsidRPr="00607153">
              <w:rPr>
                <w:rFonts w:ascii="Verdana" w:hAnsi="Verdana"/>
                <w:b/>
                <w:i w:val="0"/>
                <w:szCs w:val="22"/>
              </w:rPr>
              <w:t>Naprava za bojanje zakrivljenih cijevi iznutra velike dužine te nedostupnih prostora</w:t>
            </w:r>
          </w:p>
          <w:p w:rsidR="00AF401F" w:rsidRPr="00607153" w:rsidRDefault="00AF401F" w:rsidP="00AE293C">
            <w:pPr>
              <w:rPr>
                <w:rFonts w:ascii="Verdana" w:hAnsi="Verdana"/>
                <w:i w:val="0"/>
                <w:szCs w:val="22"/>
              </w:rPr>
            </w:pPr>
            <w:r w:rsidRPr="00607153">
              <w:rPr>
                <w:rFonts w:ascii="Verdana" w:hAnsi="Verdana"/>
                <w:i w:val="0"/>
                <w:szCs w:val="22"/>
              </w:rPr>
              <w:t>Osnovna svrha naprave je korozivna zaštita zakrivljene cijevi iznutra velike dužine ili bojanje specifičnih nedostupnih prostora. Naprava se uz manje preinake može koristiti i za pregled cijevi ili prostora kamerom kao i za pripremu površine cijevi prije nanošenja premaza. Naprava se spaja na bez zračnu špricu i čeličnom sajlom povlači iznutra cijevi od jednog prema drugom kraju pri čemu se nanosi boja. Debljina sloja boje ovisi o brzini prelaska naprave kroz cijev u satnici.</w:t>
            </w:r>
          </w:p>
        </w:tc>
      </w:tr>
      <w:tr w:rsidR="00AF401F" w:rsidRPr="00607153" w:rsidTr="00AE293C">
        <w:trPr>
          <w:trHeight w:val="1134"/>
          <w:jc w:val="center"/>
        </w:trPr>
        <w:tc>
          <w:tcPr>
            <w:tcW w:w="541" w:type="pct"/>
            <w:tcBorders>
              <w:top w:val="single" w:sz="18" w:space="0" w:color="auto"/>
            </w:tcBorders>
            <w:vAlign w:val="center"/>
          </w:tcPr>
          <w:p w:rsidR="00AF401F" w:rsidRPr="00607153" w:rsidRDefault="00AF401F" w:rsidP="00AE293C">
            <w:pPr>
              <w:jc w:val="center"/>
              <w:rPr>
                <w:rFonts w:ascii="Verdana" w:hAnsi="Verdana"/>
                <w:b/>
                <w:i w:val="0"/>
                <w:szCs w:val="22"/>
              </w:rPr>
            </w:pPr>
            <w:r>
              <w:rPr>
                <w:rFonts w:ascii="Verdana" w:hAnsi="Verdana"/>
                <w:b/>
                <w:i w:val="0"/>
                <w:szCs w:val="22"/>
              </w:rPr>
              <w:t>4./ #2</w:t>
            </w:r>
          </w:p>
        </w:tc>
        <w:tc>
          <w:tcPr>
            <w:tcW w:w="879" w:type="pct"/>
            <w:tcBorders>
              <w:top w:val="single" w:sz="18" w:space="0" w:color="auto"/>
            </w:tcBorders>
            <w:vAlign w:val="center"/>
          </w:tcPr>
          <w:p w:rsidR="00AF401F" w:rsidRPr="00607153" w:rsidRDefault="00AF401F" w:rsidP="00AE293C">
            <w:pPr>
              <w:rPr>
                <w:rFonts w:ascii="Verdana" w:hAnsi="Verdana"/>
                <w:i w:val="0"/>
                <w:szCs w:val="22"/>
              </w:rPr>
            </w:pPr>
            <w:r w:rsidRPr="00607153">
              <w:rPr>
                <w:rFonts w:ascii="Verdana" w:hAnsi="Verdana"/>
                <w:i w:val="0"/>
                <w:szCs w:val="22"/>
              </w:rPr>
              <w:t>DAMIR TARČUKOVIĆ</w:t>
            </w:r>
          </w:p>
        </w:tc>
        <w:tc>
          <w:tcPr>
            <w:tcW w:w="3580" w:type="pct"/>
            <w:tcBorders>
              <w:top w:val="single" w:sz="18" w:space="0" w:color="auto"/>
            </w:tcBorders>
            <w:vAlign w:val="center"/>
          </w:tcPr>
          <w:p w:rsidR="00AF401F" w:rsidRPr="00607153" w:rsidRDefault="00AF401F" w:rsidP="00AE293C">
            <w:pPr>
              <w:rPr>
                <w:rFonts w:ascii="Verdana" w:hAnsi="Verdana"/>
                <w:i w:val="0"/>
                <w:szCs w:val="22"/>
              </w:rPr>
            </w:pPr>
            <w:r w:rsidRPr="00607153">
              <w:rPr>
                <w:rFonts w:ascii="Verdana" w:hAnsi="Verdana"/>
                <w:b/>
                <w:i w:val="0"/>
                <w:szCs w:val="22"/>
              </w:rPr>
              <w:t>Naočale Karolina</w:t>
            </w:r>
            <w:r w:rsidRPr="00607153">
              <w:rPr>
                <w:rFonts w:ascii="Verdana" w:eastAsia="Calibri" w:hAnsi="Verdana"/>
                <w:i w:val="0"/>
                <w:szCs w:val="22"/>
              </w:rPr>
              <w:t xml:space="preserve"> </w:t>
            </w:r>
          </w:p>
          <w:p w:rsidR="00AF401F" w:rsidRPr="00607153" w:rsidRDefault="00AF401F" w:rsidP="00AE293C">
            <w:pPr>
              <w:rPr>
                <w:rFonts w:ascii="Verdana" w:hAnsi="Verdana"/>
                <w:i w:val="0"/>
                <w:szCs w:val="22"/>
              </w:rPr>
            </w:pPr>
            <w:r w:rsidRPr="00607153">
              <w:rPr>
                <w:rFonts w:ascii="Verdana" w:hAnsi="Verdana"/>
                <w:i w:val="0"/>
                <w:szCs w:val="22"/>
              </w:rPr>
              <w:t>Dizajn proizvoda služi kao dio ortopedskog pomagala (naočala). Korištenjem riječkih boja u samom dizajnu naglašava se lokalni identitet dizajna. Izborom materijala te dizajniranom geometrijom proizvoda omogućena je eliminacija opruge na krilima naočala čime se produžuje vijek trajanja, smanjuje težina i troškovi proizvodnje dok je zadržan komfor i elastičnost proizvoda koristeći se prirodnim svojstvima materijala.</w:t>
            </w:r>
          </w:p>
        </w:tc>
      </w:tr>
      <w:tr w:rsidR="00AF401F" w:rsidRPr="00607153" w:rsidTr="00AE293C">
        <w:trPr>
          <w:trHeight w:val="1134"/>
          <w:jc w:val="center"/>
        </w:trPr>
        <w:tc>
          <w:tcPr>
            <w:tcW w:w="541" w:type="pct"/>
            <w:tcBorders>
              <w:bottom w:val="single" w:sz="4" w:space="0" w:color="auto"/>
            </w:tcBorders>
            <w:vAlign w:val="center"/>
          </w:tcPr>
          <w:p w:rsidR="00AF401F" w:rsidRPr="00607153" w:rsidRDefault="00AF401F" w:rsidP="00AE293C">
            <w:pPr>
              <w:jc w:val="center"/>
              <w:rPr>
                <w:rFonts w:ascii="Verdana" w:hAnsi="Verdana"/>
                <w:b/>
                <w:i w:val="0"/>
                <w:szCs w:val="22"/>
              </w:rPr>
            </w:pPr>
            <w:r>
              <w:rPr>
                <w:rFonts w:ascii="Verdana" w:hAnsi="Verdana"/>
                <w:b/>
                <w:i w:val="0"/>
                <w:szCs w:val="22"/>
              </w:rPr>
              <w:t>5./ #2</w:t>
            </w:r>
          </w:p>
        </w:tc>
        <w:tc>
          <w:tcPr>
            <w:tcW w:w="879" w:type="pct"/>
            <w:tcBorders>
              <w:bottom w:val="single" w:sz="4" w:space="0" w:color="auto"/>
            </w:tcBorders>
            <w:vAlign w:val="center"/>
          </w:tcPr>
          <w:p w:rsidR="00AF401F" w:rsidRPr="00607153" w:rsidRDefault="00AF401F" w:rsidP="00AE293C">
            <w:pPr>
              <w:rPr>
                <w:rFonts w:ascii="Verdana" w:hAnsi="Verdana"/>
                <w:i w:val="0"/>
                <w:szCs w:val="22"/>
              </w:rPr>
            </w:pPr>
            <w:r w:rsidRPr="00607153">
              <w:rPr>
                <w:rFonts w:ascii="Verdana" w:hAnsi="Verdana"/>
                <w:i w:val="0"/>
                <w:szCs w:val="22"/>
              </w:rPr>
              <w:t>TIHANA KALČIĆ</w:t>
            </w:r>
          </w:p>
        </w:tc>
        <w:tc>
          <w:tcPr>
            <w:tcW w:w="3580" w:type="pct"/>
            <w:tcBorders>
              <w:bottom w:val="single" w:sz="4" w:space="0" w:color="auto"/>
            </w:tcBorders>
            <w:vAlign w:val="center"/>
          </w:tcPr>
          <w:p w:rsidR="00AF401F" w:rsidRPr="00607153" w:rsidRDefault="00AF401F" w:rsidP="00AE293C">
            <w:pPr>
              <w:rPr>
                <w:rFonts w:ascii="Verdana" w:hAnsi="Verdana"/>
                <w:b/>
                <w:i w:val="0"/>
                <w:szCs w:val="22"/>
              </w:rPr>
            </w:pPr>
            <w:r w:rsidRPr="00607153">
              <w:rPr>
                <w:rFonts w:ascii="Verdana" w:hAnsi="Verdana"/>
                <w:b/>
                <w:i w:val="0"/>
                <w:szCs w:val="22"/>
              </w:rPr>
              <w:t>Ploče za zaštitu od hladnoće od eko ovčje vune</w:t>
            </w:r>
          </w:p>
          <w:p w:rsidR="00AF401F" w:rsidRPr="00607153" w:rsidRDefault="00AF401F" w:rsidP="00AE293C">
            <w:pPr>
              <w:rPr>
                <w:rFonts w:ascii="Verdana" w:hAnsi="Verdana"/>
                <w:i w:val="0"/>
                <w:szCs w:val="22"/>
              </w:rPr>
            </w:pPr>
            <w:r w:rsidRPr="00607153">
              <w:rPr>
                <w:rFonts w:ascii="Verdana" w:hAnsi="Verdana"/>
                <w:i w:val="0"/>
                <w:szCs w:val="22"/>
              </w:rPr>
              <w:t xml:space="preserve">Ploče predstavljaju toplinski blok koji se sastoji od ovčje vune kojoj se dodaju manje količine slame i stabljike kukuruzovine radi čvrstoće i kompaktnosti. Navedeni materijali se grubo melju i miješaju s cementom ili drugom vrstom veziva te prešaju. Tako prešani toplinski blok na sebi ima </w:t>
            </w:r>
            <w:proofErr w:type="spellStart"/>
            <w:r w:rsidRPr="00607153">
              <w:rPr>
                <w:rFonts w:ascii="Verdana" w:hAnsi="Verdana"/>
                <w:i w:val="0"/>
                <w:szCs w:val="22"/>
              </w:rPr>
              <w:t>falceve</w:t>
            </w:r>
            <w:proofErr w:type="spellEnd"/>
            <w:r w:rsidRPr="00607153">
              <w:rPr>
                <w:rFonts w:ascii="Verdana" w:hAnsi="Verdana"/>
                <w:i w:val="0"/>
                <w:szCs w:val="22"/>
              </w:rPr>
              <w:t xml:space="preserve"> za lakšu montažu te otvor za učvršćivanje. Posebna vrijednost ovog izuma je njegova EKO komponenta, s obzirom da se koristi ovčja vuna koja se inače baca kao biološki otpad, a ima odlične kvalitativne karakteristike za gradnju: ne gori i ne zadržava vlagu. U ovome smislu vuna se reciklira te daje odlične rezultate u pogledu smanjenja cijene izrade zidnih blokova te ostvarenja boljih rezultata toplinske i zvučne izolacije.</w:t>
            </w:r>
          </w:p>
        </w:tc>
      </w:tr>
      <w:tr w:rsidR="00AF401F" w:rsidRPr="00607153" w:rsidTr="00AE293C">
        <w:trPr>
          <w:trHeight w:val="1134"/>
          <w:jc w:val="center"/>
        </w:trPr>
        <w:tc>
          <w:tcPr>
            <w:tcW w:w="541" w:type="pct"/>
            <w:tcBorders>
              <w:bottom w:val="single" w:sz="24" w:space="0" w:color="auto"/>
            </w:tcBorders>
            <w:vAlign w:val="center"/>
          </w:tcPr>
          <w:p w:rsidR="00AF401F" w:rsidRPr="00607153" w:rsidRDefault="00AF401F" w:rsidP="00AE293C">
            <w:pPr>
              <w:jc w:val="center"/>
              <w:rPr>
                <w:rFonts w:ascii="Verdana" w:hAnsi="Verdana"/>
                <w:b/>
                <w:i w:val="0"/>
                <w:szCs w:val="22"/>
              </w:rPr>
            </w:pPr>
            <w:r>
              <w:rPr>
                <w:rFonts w:ascii="Verdana" w:hAnsi="Verdana"/>
                <w:b/>
                <w:i w:val="0"/>
                <w:szCs w:val="22"/>
              </w:rPr>
              <w:lastRenderedPageBreak/>
              <w:t>6./ #2</w:t>
            </w:r>
          </w:p>
        </w:tc>
        <w:tc>
          <w:tcPr>
            <w:tcW w:w="879" w:type="pct"/>
            <w:tcBorders>
              <w:bottom w:val="single" w:sz="24" w:space="0" w:color="auto"/>
            </w:tcBorders>
            <w:vAlign w:val="center"/>
          </w:tcPr>
          <w:p w:rsidR="00AF401F" w:rsidRPr="00607153" w:rsidRDefault="00AF401F" w:rsidP="00AE293C">
            <w:pPr>
              <w:rPr>
                <w:rFonts w:ascii="Verdana" w:hAnsi="Verdana"/>
                <w:i w:val="0"/>
                <w:szCs w:val="22"/>
              </w:rPr>
            </w:pPr>
            <w:r w:rsidRPr="00607153">
              <w:rPr>
                <w:rFonts w:ascii="Verdana" w:hAnsi="Verdana"/>
                <w:i w:val="0"/>
                <w:szCs w:val="22"/>
              </w:rPr>
              <w:t>STIPAN ORČIĆ</w:t>
            </w:r>
          </w:p>
        </w:tc>
        <w:tc>
          <w:tcPr>
            <w:tcW w:w="3580" w:type="pct"/>
            <w:tcBorders>
              <w:bottom w:val="single" w:sz="24" w:space="0" w:color="auto"/>
            </w:tcBorders>
            <w:vAlign w:val="center"/>
          </w:tcPr>
          <w:p w:rsidR="00AF401F" w:rsidRPr="00607153" w:rsidRDefault="00AF401F" w:rsidP="00AE293C">
            <w:pPr>
              <w:rPr>
                <w:rFonts w:ascii="Verdana" w:hAnsi="Verdana"/>
                <w:b/>
                <w:i w:val="0"/>
                <w:szCs w:val="22"/>
              </w:rPr>
            </w:pPr>
            <w:r w:rsidRPr="00607153">
              <w:rPr>
                <w:rFonts w:ascii="Verdana" w:hAnsi="Verdana"/>
                <w:b/>
                <w:i w:val="0"/>
                <w:szCs w:val="22"/>
              </w:rPr>
              <w:t>Guma s grijačem za cestovna vozila</w:t>
            </w:r>
          </w:p>
          <w:p w:rsidR="00AF401F" w:rsidRPr="00607153" w:rsidRDefault="00AF401F" w:rsidP="00AE293C">
            <w:pPr>
              <w:rPr>
                <w:rFonts w:ascii="Verdana" w:hAnsi="Verdana"/>
                <w:i w:val="0"/>
                <w:szCs w:val="22"/>
              </w:rPr>
            </w:pPr>
            <w:r w:rsidRPr="00607153">
              <w:rPr>
                <w:rFonts w:ascii="Verdana" w:hAnsi="Verdana"/>
                <w:i w:val="0"/>
                <w:szCs w:val="22"/>
              </w:rPr>
              <w:t>Namijenjena je za vožnju u zimskim uvjetima i alternativa je za zimske gume i lance. Montira se na pogonske kotače, a identičnih profila i karakteristika trebaju biti i ostale gume na vozilu. Kada vozač u vožnji prometnicom naiđe na zaleđeni ili snijegom prekriveni kolnik uključuje grijače u gumama, a s time postiže da zagrijane gume smekšaju profil gume što im omogućuje bolje prianjanje na kolnik.</w:t>
            </w:r>
          </w:p>
        </w:tc>
      </w:tr>
      <w:tr w:rsidR="00AF401F" w:rsidRPr="00607153" w:rsidTr="00AE293C">
        <w:trPr>
          <w:trHeight w:val="446"/>
          <w:jc w:val="center"/>
        </w:trPr>
        <w:tc>
          <w:tcPr>
            <w:tcW w:w="541" w:type="pct"/>
            <w:vAlign w:val="center"/>
          </w:tcPr>
          <w:p w:rsidR="00AF401F" w:rsidRPr="00607153" w:rsidRDefault="00AF401F" w:rsidP="00AE293C">
            <w:pPr>
              <w:jc w:val="center"/>
              <w:rPr>
                <w:rFonts w:ascii="Verdana" w:hAnsi="Verdana"/>
                <w:b/>
                <w:i w:val="0"/>
                <w:szCs w:val="22"/>
              </w:rPr>
            </w:pPr>
            <w:r>
              <w:rPr>
                <w:rFonts w:ascii="Verdana" w:hAnsi="Verdana"/>
                <w:b/>
                <w:i w:val="0"/>
                <w:szCs w:val="22"/>
              </w:rPr>
              <w:t>7./#3</w:t>
            </w:r>
          </w:p>
        </w:tc>
        <w:tc>
          <w:tcPr>
            <w:tcW w:w="879" w:type="pct"/>
            <w:vAlign w:val="center"/>
          </w:tcPr>
          <w:p w:rsidR="00AF401F" w:rsidRPr="00607153" w:rsidRDefault="00AF401F" w:rsidP="00AE293C">
            <w:pPr>
              <w:rPr>
                <w:rFonts w:ascii="Verdana" w:hAnsi="Verdana"/>
                <w:i w:val="0"/>
                <w:szCs w:val="22"/>
              </w:rPr>
            </w:pPr>
            <w:r w:rsidRPr="00607153">
              <w:rPr>
                <w:rFonts w:ascii="Verdana" w:hAnsi="Verdana"/>
                <w:i w:val="0"/>
                <w:szCs w:val="22"/>
              </w:rPr>
              <w:t>MARCELA MUSCHET</w:t>
            </w:r>
          </w:p>
        </w:tc>
        <w:tc>
          <w:tcPr>
            <w:tcW w:w="3580" w:type="pct"/>
            <w:vAlign w:val="center"/>
          </w:tcPr>
          <w:p w:rsidR="00AF401F" w:rsidRPr="00607153" w:rsidRDefault="00AF401F" w:rsidP="00AE293C">
            <w:pPr>
              <w:rPr>
                <w:rFonts w:ascii="Verdana" w:hAnsi="Verdana"/>
                <w:b/>
                <w:i w:val="0"/>
                <w:szCs w:val="22"/>
              </w:rPr>
            </w:pPr>
            <w:r w:rsidRPr="00607153">
              <w:rPr>
                <w:rFonts w:ascii="Verdana" w:hAnsi="Verdana"/>
                <w:b/>
                <w:i w:val="0"/>
                <w:szCs w:val="22"/>
              </w:rPr>
              <w:t xml:space="preserve">Eko postupak </w:t>
            </w:r>
            <w:proofErr w:type="spellStart"/>
            <w:r w:rsidRPr="00607153">
              <w:rPr>
                <w:rFonts w:ascii="Verdana" w:hAnsi="Verdana"/>
                <w:b/>
                <w:i w:val="0"/>
                <w:szCs w:val="22"/>
              </w:rPr>
              <w:t>kompostiranja</w:t>
            </w:r>
            <w:proofErr w:type="spellEnd"/>
            <w:r w:rsidRPr="00607153">
              <w:rPr>
                <w:rFonts w:ascii="Verdana" w:hAnsi="Verdana"/>
                <w:b/>
                <w:i w:val="0"/>
                <w:szCs w:val="22"/>
              </w:rPr>
              <w:t xml:space="preserve"> otpada u zatvorenom spremniku </w:t>
            </w:r>
          </w:p>
          <w:p w:rsidR="00AF401F" w:rsidRPr="00607153" w:rsidRDefault="00AF401F" w:rsidP="00AE293C">
            <w:pPr>
              <w:rPr>
                <w:rFonts w:ascii="Verdana" w:hAnsi="Verdana"/>
                <w:i w:val="0"/>
                <w:szCs w:val="22"/>
              </w:rPr>
            </w:pPr>
            <w:r w:rsidRPr="00607153">
              <w:rPr>
                <w:rFonts w:ascii="Verdana" w:hAnsi="Verdana"/>
                <w:i w:val="0"/>
                <w:szCs w:val="22"/>
              </w:rPr>
              <w:t xml:space="preserve">Izum omogućuje provedbu kontroliranog </w:t>
            </w:r>
            <w:proofErr w:type="spellStart"/>
            <w:r w:rsidRPr="00607153">
              <w:rPr>
                <w:rFonts w:ascii="Verdana" w:hAnsi="Verdana"/>
                <w:i w:val="0"/>
                <w:szCs w:val="22"/>
              </w:rPr>
              <w:t>kompostiranja</w:t>
            </w:r>
            <w:proofErr w:type="spellEnd"/>
            <w:r w:rsidRPr="00607153">
              <w:rPr>
                <w:rFonts w:ascii="Verdana" w:hAnsi="Verdana"/>
                <w:i w:val="0"/>
                <w:szCs w:val="22"/>
              </w:rPr>
              <w:t xml:space="preserve"> i biološkog isušivanja organskih otpadaka u spremniku. Ovim postupkom prilikom dovoda zraka dolazi do porasta mikrobioloških organizama bez premetanja otpada, gdje se najprije razgrađuju biološki lakše razgradive organske tvari otpada, a završna faza je isušivanje otpada gdje je na koncu otpad razgrađen i bez neugodnih mirisa. Postupak omogućuje gomilanje otpada do čak 6 metara ili više.</w:t>
            </w:r>
          </w:p>
        </w:tc>
      </w:tr>
      <w:tr w:rsidR="00AF401F" w:rsidRPr="00607153" w:rsidTr="00AE293C">
        <w:trPr>
          <w:trHeight w:val="365"/>
          <w:jc w:val="center"/>
        </w:trPr>
        <w:tc>
          <w:tcPr>
            <w:tcW w:w="541" w:type="pct"/>
            <w:vAlign w:val="center"/>
          </w:tcPr>
          <w:p w:rsidR="00AF401F" w:rsidRPr="00607153" w:rsidRDefault="00AF401F" w:rsidP="00AE293C">
            <w:pPr>
              <w:jc w:val="center"/>
              <w:rPr>
                <w:rFonts w:ascii="Verdana" w:hAnsi="Verdana"/>
                <w:b/>
                <w:i w:val="0"/>
                <w:szCs w:val="22"/>
              </w:rPr>
            </w:pPr>
            <w:r>
              <w:rPr>
                <w:rFonts w:ascii="Verdana" w:hAnsi="Verdana"/>
                <w:b/>
                <w:i w:val="0"/>
                <w:szCs w:val="22"/>
              </w:rPr>
              <w:t>8./ #3</w:t>
            </w:r>
          </w:p>
        </w:tc>
        <w:tc>
          <w:tcPr>
            <w:tcW w:w="879" w:type="pct"/>
            <w:vAlign w:val="center"/>
          </w:tcPr>
          <w:p w:rsidR="00AF401F" w:rsidRPr="00607153" w:rsidRDefault="00AF401F" w:rsidP="00AE293C">
            <w:pPr>
              <w:rPr>
                <w:rFonts w:ascii="Verdana" w:hAnsi="Verdana"/>
                <w:i w:val="0"/>
                <w:szCs w:val="22"/>
              </w:rPr>
            </w:pPr>
            <w:r w:rsidRPr="00607153">
              <w:rPr>
                <w:rFonts w:ascii="Verdana" w:hAnsi="Verdana"/>
                <w:i w:val="0"/>
                <w:szCs w:val="22"/>
              </w:rPr>
              <w:t>IVAN ŠEREK</w:t>
            </w:r>
          </w:p>
        </w:tc>
        <w:tc>
          <w:tcPr>
            <w:tcW w:w="3580" w:type="pct"/>
            <w:vAlign w:val="center"/>
          </w:tcPr>
          <w:p w:rsidR="00AF401F" w:rsidRPr="00607153" w:rsidRDefault="00AF401F" w:rsidP="00AE293C">
            <w:pPr>
              <w:rPr>
                <w:rFonts w:ascii="Verdana" w:hAnsi="Verdana"/>
                <w:b/>
                <w:i w:val="0"/>
                <w:szCs w:val="22"/>
              </w:rPr>
            </w:pPr>
            <w:r w:rsidRPr="00607153">
              <w:rPr>
                <w:rFonts w:ascii="Verdana" w:hAnsi="Verdana"/>
                <w:b/>
                <w:i w:val="0"/>
                <w:szCs w:val="22"/>
              </w:rPr>
              <w:t xml:space="preserve">Mehanizam za pretvorbu pravocrtnog kretanja u kružno </w:t>
            </w:r>
          </w:p>
          <w:p w:rsidR="00AF401F" w:rsidRPr="00607153" w:rsidRDefault="00AF401F" w:rsidP="00AE293C">
            <w:pPr>
              <w:rPr>
                <w:rFonts w:ascii="Verdana" w:hAnsi="Verdana"/>
                <w:i w:val="0"/>
                <w:szCs w:val="22"/>
              </w:rPr>
            </w:pPr>
            <w:r w:rsidRPr="00607153">
              <w:rPr>
                <w:rFonts w:ascii="Verdana" w:hAnsi="Verdana"/>
                <w:i w:val="0"/>
                <w:szCs w:val="22"/>
              </w:rPr>
              <w:t xml:space="preserve">Osnovna svrha mehanizma je pretvaranje linearnog gibanja u rotaciju. Broj okretaja ovisi o duljini linearnog gibanja. Postoje dvije izvedbe koje određuju hoće li se vreteno vrtjeti u smjeru linearnog gibanja ili okomito na linearno gibanje. Broj gibanja u jedinici vremena određuje snagu i broj okretaja. Na jedno vreteno može se priključiti proizvoljni broj modula koji mogu raditi istovremeno ili pomaknuto u fazi, gdje svako pokretanje modula bez posebne spojke djeluje na vreteno. Zbroj modula i promjena polariteta određuju snagu i broj okretaja s tim da se svaka aktivnost modula pribraja </w:t>
            </w:r>
            <w:proofErr w:type="spellStart"/>
            <w:r w:rsidRPr="00607153">
              <w:rPr>
                <w:rFonts w:ascii="Verdana" w:hAnsi="Verdana"/>
                <w:i w:val="0"/>
                <w:szCs w:val="22"/>
              </w:rPr>
              <w:t>vrtećem</w:t>
            </w:r>
            <w:proofErr w:type="spellEnd"/>
            <w:r w:rsidRPr="00607153">
              <w:rPr>
                <w:rFonts w:ascii="Verdana" w:hAnsi="Verdana"/>
                <w:i w:val="0"/>
                <w:szCs w:val="22"/>
              </w:rPr>
              <w:t xml:space="preserve"> vretenu. </w:t>
            </w:r>
          </w:p>
        </w:tc>
      </w:tr>
      <w:tr w:rsidR="00AF401F" w:rsidRPr="00607153" w:rsidTr="00AE293C">
        <w:trPr>
          <w:trHeight w:val="790"/>
          <w:jc w:val="center"/>
        </w:trPr>
        <w:tc>
          <w:tcPr>
            <w:tcW w:w="541" w:type="pct"/>
            <w:vAlign w:val="center"/>
          </w:tcPr>
          <w:p w:rsidR="00AF401F" w:rsidRPr="00607153" w:rsidRDefault="00AF401F" w:rsidP="00AE293C">
            <w:pPr>
              <w:jc w:val="center"/>
              <w:rPr>
                <w:rFonts w:ascii="Verdana" w:hAnsi="Verdana"/>
                <w:b/>
                <w:i w:val="0"/>
                <w:szCs w:val="22"/>
              </w:rPr>
            </w:pPr>
            <w:r>
              <w:rPr>
                <w:rFonts w:ascii="Verdana" w:hAnsi="Verdana"/>
                <w:b/>
                <w:i w:val="0"/>
                <w:szCs w:val="22"/>
              </w:rPr>
              <w:t>9./ #3</w:t>
            </w:r>
          </w:p>
        </w:tc>
        <w:tc>
          <w:tcPr>
            <w:tcW w:w="879" w:type="pct"/>
            <w:vAlign w:val="center"/>
          </w:tcPr>
          <w:p w:rsidR="00AF401F" w:rsidRPr="00607153" w:rsidRDefault="00AF401F" w:rsidP="00AE293C">
            <w:pPr>
              <w:rPr>
                <w:rFonts w:ascii="Verdana" w:hAnsi="Verdana"/>
                <w:i w:val="0"/>
                <w:szCs w:val="22"/>
              </w:rPr>
            </w:pPr>
            <w:r w:rsidRPr="00607153">
              <w:rPr>
                <w:rFonts w:ascii="Verdana" w:hAnsi="Verdana"/>
                <w:i w:val="0"/>
                <w:szCs w:val="22"/>
              </w:rPr>
              <w:t>IVA ĆULUMOVIĆ</w:t>
            </w:r>
          </w:p>
        </w:tc>
        <w:tc>
          <w:tcPr>
            <w:tcW w:w="3580" w:type="pct"/>
            <w:vAlign w:val="center"/>
          </w:tcPr>
          <w:p w:rsidR="00AF401F" w:rsidRPr="00607153" w:rsidRDefault="00AF401F" w:rsidP="00AE293C">
            <w:pPr>
              <w:rPr>
                <w:rFonts w:ascii="Verdana" w:hAnsi="Verdana"/>
                <w:b/>
                <w:i w:val="0"/>
                <w:szCs w:val="22"/>
              </w:rPr>
            </w:pPr>
            <w:r w:rsidRPr="00607153">
              <w:rPr>
                <w:rFonts w:ascii="Verdana" w:hAnsi="Verdana"/>
                <w:b/>
                <w:i w:val="0"/>
                <w:szCs w:val="22"/>
              </w:rPr>
              <w:t xml:space="preserve">Linija proizvoda sa šparogom i veprinom </w:t>
            </w:r>
          </w:p>
          <w:p w:rsidR="00AF401F" w:rsidRPr="00607153" w:rsidRDefault="00AF401F" w:rsidP="00AE293C">
            <w:pPr>
              <w:rPr>
                <w:rFonts w:ascii="Verdana" w:hAnsi="Verdana"/>
                <w:i w:val="0"/>
                <w:szCs w:val="22"/>
              </w:rPr>
            </w:pPr>
            <w:r w:rsidRPr="00607153">
              <w:rPr>
                <w:rFonts w:ascii="Verdana" w:hAnsi="Verdana"/>
                <w:i w:val="0"/>
                <w:szCs w:val="22"/>
              </w:rPr>
              <w:t xml:space="preserve">Linija od šparoge i veprine sastoji se od džema sa divljom šparogom i veprinom kao i zelene </w:t>
            </w:r>
            <w:proofErr w:type="spellStart"/>
            <w:r w:rsidRPr="00607153">
              <w:rPr>
                <w:rFonts w:ascii="Verdana" w:hAnsi="Verdana"/>
                <w:i w:val="0"/>
                <w:szCs w:val="22"/>
              </w:rPr>
              <w:t>praline</w:t>
            </w:r>
            <w:proofErr w:type="spellEnd"/>
            <w:r w:rsidRPr="00607153">
              <w:rPr>
                <w:rFonts w:ascii="Verdana" w:hAnsi="Verdana"/>
                <w:i w:val="0"/>
                <w:szCs w:val="22"/>
              </w:rPr>
              <w:t xml:space="preserve"> i torte. Cilj je oživiti ponudu Veprinačkog kraja koji je dobio ime po Veprini. Obzirom na postojeće posebne dozvole za branje veprine, želi se istaknuti mogućnost uzgoja i komercijalizacije ove zaštićene biljke u OPG-ovima čime bi ona postala sastavni dio turističke </w:t>
            </w:r>
            <w:proofErr w:type="spellStart"/>
            <w:r w:rsidRPr="00607153">
              <w:rPr>
                <w:rFonts w:ascii="Verdana" w:hAnsi="Verdana"/>
                <w:i w:val="0"/>
                <w:szCs w:val="22"/>
              </w:rPr>
              <w:t>gastro</w:t>
            </w:r>
            <w:proofErr w:type="spellEnd"/>
            <w:r w:rsidRPr="00607153">
              <w:rPr>
                <w:rFonts w:ascii="Verdana" w:hAnsi="Verdana"/>
                <w:i w:val="0"/>
                <w:szCs w:val="22"/>
              </w:rPr>
              <w:t xml:space="preserve"> ponude.</w:t>
            </w:r>
          </w:p>
        </w:tc>
      </w:tr>
    </w:tbl>
    <w:p w:rsidR="00AF401F" w:rsidRPr="00607153" w:rsidRDefault="00AF401F" w:rsidP="00AF401F">
      <w:pPr>
        <w:spacing w:before="120" w:after="120"/>
        <w:rPr>
          <w:rFonts w:ascii="Verdana" w:hAnsi="Verdana"/>
          <w:i w:val="0"/>
          <w:sz w:val="24"/>
          <w:szCs w:val="24"/>
        </w:rPr>
      </w:pPr>
    </w:p>
    <w:sectPr w:rsidR="00AF401F" w:rsidRPr="00607153" w:rsidSect="00AF401F">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14" w:rsidRDefault="00802214" w:rsidP="00AF401F">
      <w:r>
        <w:separator/>
      </w:r>
    </w:p>
  </w:endnote>
  <w:endnote w:type="continuationSeparator" w:id="0">
    <w:p w:rsidR="00802214" w:rsidRDefault="00802214" w:rsidP="00AF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14" w:rsidRDefault="00802214" w:rsidP="00AF401F">
      <w:r>
        <w:separator/>
      </w:r>
    </w:p>
  </w:footnote>
  <w:footnote w:type="continuationSeparator" w:id="0">
    <w:p w:rsidR="00802214" w:rsidRDefault="00802214" w:rsidP="00AF4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1F"/>
    <w:rsid w:val="00802214"/>
    <w:rsid w:val="00AF401F"/>
    <w:rsid w:val="00D710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1F"/>
    <w:pPr>
      <w:spacing w:after="0" w:line="240" w:lineRule="auto"/>
      <w:jc w:val="both"/>
    </w:pPr>
    <w:rPr>
      <w:rFonts w:ascii="Arial" w:eastAsia="Times New Roman" w:hAnsi="Arial"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01F"/>
    <w:pPr>
      <w:tabs>
        <w:tab w:val="center" w:pos="4536"/>
        <w:tab w:val="right" w:pos="9072"/>
      </w:tabs>
    </w:pPr>
  </w:style>
  <w:style w:type="character" w:customStyle="1" w:styleId="HeaderChar">
    <w:name w:val="Header Char"/>
    <w:basedOn w:val="DefaultParagraphFont"/>
    <w:link w:val="Header"/>
    <w:rsid w:val="00AF401F"/>
    <w:rPr>
      <w:rFonts w:ascii="Arial" w:eastAsia="Times New Roman" w:hAnsi="Arial" w:cs="Arial"/>
      <w:i/>
      <w:szCs w:val="20"/>
    </w:rPr>
  </w:style>
  <w:style w:type="paragraph" w:styleId="Footer">
    <w:name w:val="footer"/>
    <w:basedOn w:val="Normal"/>
    <w:link w:val="FooterChar"/>
    <w:rsid w:val="00AF401F"/>
    <w:pPr>
      <w:tabs>
        <w:tab w:val="center" w:pos="4536"/>
        <w:tab w:val="right" w:pos="9072"/>
      </w:tabs>
    </w:pPr>
  </w:style>
  <w:style w:type="character" w:customStyle="1" w:styleId="FooterChar">
    <w:name w:val="Footer Char"/>
    <w:basedOn w:val="DefaultParagraphFont"/>
    <w:link w:val="Footer"/>
    <w:rsid w:val="00AF401F"/>
    <w:rPr>
      <w:rFonts w:ascii="Arial" w:eastAsia="Times New Roman" w:hAnsi="Arial" w:cs="Arial"/>
      <w:i/>
      <w:szCs w:val="20"/>
    </w:rPr>
  </w:style>
  <w:style w:type="character" w:styleId="Hyperlink">
    <w:name w:val="Hyperlink"/>
    <w:rsid w:val="00AF401F"/>
    <w:rPr>
      <w:rFonts w:cs="Times New Roman"/>
      <w:color w:val="0000FF"/>
      <w:u w:val="single"/>
    </w:rPr>
  </w:style>
  <w:style w:type="paragraph" w:styleId="BalloonText">
    <w:name w:val="Balloon Text"/>
    <w:basedOn w:val="Normal"/>
    <w:link w:val="BalloonTextChar"/>
    <w:uiPriority w:val="99"/>
    <w:semiHidden/>
    <w:unhideWhenUsed/>
    <w:rsid w:val="00AF401F"/>
    <w:rPr>
      <w:rFonts w:ascii="Tahoma" w:hAnsi="Tahoma" w:cs="Tahoma"/>
      <w:sz w:val="16"/>
      <w:szCs w:val="16"/>
    </w:rPr>
  </w:style>
  <w:style w:type="character" w:customStyle="1" w:styleId="BalloonTextChar">
    <w:name w:val="Balloon Text Char"/>
    <w:basedOn w:val="DefaultParagraphFont"/>
    <w:link w:val="BalloonText"/>
    <w:uiPriority w:val="99"/>
    <w:semiHidden/>
    <w:rsid w:val="00AF401F"/>
    <w:rPr>
      <w:rFonts w:ascii="Tahoma" w:eastAsia="Times New Roman"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1F"/>
    <w:pPr>
      <w:spacing w:after="0" w:line="240" w:lineRule="auto"/>
      <w:jc w:val="both"/>
    </w:pPr>
    <w:rPr>
      <w:rFonts w:ascii="Arial" w:eastAsia="Times New Roman" w:hAnsi="Arial"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01F"/>
    <w:pPr>
      <w:tabs>
        <w:tab w:val="center" w:pos="4536"/>
        <w:tab w:val="right" w:pos="9072"/>
      </w:tabs>
    </w:pPr>
  </w:style>
  <w:style w:type="character" w:customStyle="1" w:styleId="HeaderChar">
    <w:name w:val="Header Char"/>
    <w:basedOn w:val="DefaultParagraphFont"/>
    <w:link w:val="Header"/>
    <w:rsid w:val="00AF401F"/>
    <w:rPr>
      <w:rFonts w:ascii="Arial" w:eastAsia="Times New Roman" w:hAnsi="Arial" w:cs="Arial"/>
      <w:i/>
      <w:szCs w:val="20"/>
    </w:rPr>
  </w:style>
  <w:style w:type="paragraph" w:styleId="Footer">
    <w:name w:val="footer"/>
    <w:basedOn w:val="Normal"/>
    <w:link w:val="FooterChar"/>
    <w:rsid w:val="00AF401F"/>
    <w:pPr>
      <w:tabs>
        <w:tab w:val="center" w:pos="4536"/>
        <w:tab w:val="right" w:pos="9072"/>
      </w:tabs>
    </w:pPr>
  </w:style>
  <w:style w:type="character" w:customStyle="1" w:styleId="FooterChar">
    <w:name w:val="Footer Char"/>
    <w:basedOn w:val="DefaultParagraphFont"/>
    <w:link w:val="Footer"/>
    <w:rsid w:val="00AF401F"/>
    <w:rPr>
      <w:rFonts w:ascii="Arial" w:eastAsia="Times New Roman" w:hAnsi="Arial" w:cs="Arial"/>
      <w:i/>
      <w:szCs w:val="20"/>
    </w:rPr>
  </w:style>
  <w:style w:type="character" w:styleId="Hyperlink">
    <w:name w:val="Hyperlink"/>
    <w:rsid w:val="00AF401F"/>
    <w:rPr>
      <w:rFonts w:cs="Times New Roman"/>
      <w:color w:val="0000FF"/>
      <w:u w:val="single"/>
    </w:rPr>
  </w:style>
  <w:style w:type="paragraph" w:styleId="BalloonText">
    <w:name w:val="Balloon Text"/>
    <w:basedOn w:val="Normal"/>
    <w:link w:val="BalloonTextChar"/>
    <w:uiPriority w:val="99"/>
    <w:semiHidden/>
    <w:unhideWhenUsed/>
    <w:rsid w:val="00AF401F"/>
    <w:rPr>
      <w:rFonts w:ascii="Tahoma" w:hAnsi="Tahoma" w:cs="Tahoma"/>
      <w:sz w:val="16"/>
      <w:szCs w:val="16"/>
    </w:rPr>
  </w:style>
  <w:style w:type="character" w:customStyle="1" w:styleId="BalloonTextChar">
    <w:name w:val="Balloon Text Char"/>
    <w:basedOn w:val="DefaultParagraphFont"/>
    <w:link w:val="BalloonText"/>
    <w:uiPriority w:val="99"/>
    <w:semiHidden/>
    <w:rsid w:val="00AF401F"/>
    <w:rPr>
      <w:rFonts w:ascii="Tahoma" w:eastAsia="Times New Roman"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Glavašević</dc:creator>
  <cp:lastModifiedBy>Danijel Glavašević</cp:lastModifiedBy>
  <cp:revision>1</cp:revision>
  <dcterms:created xsi:type="dcterms:W3CDTF">2019-12-03T09:57:00Z</dcterms:created>
  <dcterms:modified xsi:type="dcterms:W3CDTF">2019-12-03T10:02:00Z</dcterms:modified>
</cp:coreProperties>
</file>