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1D7B" w14:textId="4ACB0278" w:rsidR="00F45842" w:rsidRPr="00A30DD2" w:rsidRDefault="002A0E96" w:rsidP="002A0E96">
      <w:pPr>
        <w:tabs>
          <w:tab w:val="left" w:pos="2808"/>
        </w:tabs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b/>
          <w:sz w:val="28"/>
          <w:szCs w:val="28"/>
        </w:rPr>
        <w:tab/>
      </w:r>
    </w:p>
    <w:p w14:paraId="0798D179" w14:textId="7777777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6E3485" w14:textId="0A78256E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3A22D70" w14:textId="52D34C92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6DD94EA" w14:textId="3E40A6BB" w:rsidR="00F45842" w:rsidRPr="00A30DD2" w:rsidRDefault="00856D7D" w:rsidP="009B47B2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2F440FE" wp14:editId="43A400DB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3810000" cy="1722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GŽ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9A11" w14:textId="6E9C3E0B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2255CEB" w14:textId="6267C124" w:rsidR="00F45842" w:rsidRPr="00A30DD2" w:rsidRDefault="00856D7D" w:rsidP="00856D7D">
      <w:pPr>
        <w:tabs>
          <w:tab w:val="left" w:pos="6000"/>
        </w:tabs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ab/>
      </w:r>
    </w:p>
    <w:p w14:paraId="355B1D69" w14:textId="391B247D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F7103AD" w14:textId="38A39175" w:rsidR="00F45842" w:rsidRPr="00A30DD2" w:rsidRDefault="00F45842" w:rsidP="008E2F16">
      <w:pPr>
        <w:rPr>
          <w:rFonts w:ascii="Cambria" w:hAnsi="Cambria" w:cs="Times New Roman"/>
          <w:b/>
          <w:sz w:val="28"/>
          <w:szCs w:val="28"/>
        </w:rPr>
      </w:pPr>
    </w:p>
    <w:p w14:paraId="6C9677B6" w14:textId="2DD0A42B" w:rsidR="00F4584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836CB61" w14:textId="7736EB5E" w:rsidR="00856D7D" w:rsidRDefault="00856D7D" w:rsidP="00852331">
      <w:pPr>
        <w:rPr>
          <w:rFonts w:ascii="Cambria" w:hAnsi="Cambria" w:cs="Times New Roman"/>
          <w:b/>
          <w:sz w:val="28"/>
          <w:szCs w:val="28"/>
        </w:rPr>
      </w:pPr>
    </w:p>
    <w:p w14:paraId="10F05F66" w14:textId="77777777" w:rsidR="000929D1" w:rsidRDefault="000929D1" w:rsidP="00852331">
      <w:pPr>
        <w:rPr>
          <w:rFonts w:ascii="Cambria" w:hAnsi="Cambria" w:cs="Times New Roman"/>
          <w:b/>
          <w:sz w:val="28"/>
          <w:szCs w:val="28"/>
        </w:rPr>
      </w:pPr>
    </w:p>
    <w:p w14:paraId="098EFB36" w14:textId="77777777" w:rsidR="00EA42B2" w:rsidRPr="00A30DD2" w:rsidRDefault="00EA42B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FC80364" w14:textId="77777777" w:rsidR="000929D1" w:rsidRPr="008E2F16" w:rsidRDefault="000929D1" w:rsidP="000929D1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r>
        <w:rPr>
          <w:rFonts w:ascii="Cambria" w:hAnsi="Cambria" w:cs="Times New Roman"/>
          <w:b/>
          <w:sz w:val="40"/>
          <w:szCs w:val="40"/>
        </w:rPr>
        <w:t>PRIRUČNIK ZA IZRADU</w:t>
      </w:r>
      <w:r w:rsidRPr="008E2F16">
        <w:rPr>
          <w:rFonts w:ascii="Cambria" w:hAnsi="Cambria" w:cs="Times New Roman"/>
          <w:b/>
          <w:sz w:val="40"/>
          <w:szCs w:val="40"/>
        </w:rPr>
        <w:t xml:space="preserve"> STUDIJE GOSPODARSKE OPRAVDANOSTI ZA DAVANJE KONCESIJ</w:t>
      </w:r>
      <w:r>
        <w:rPr>
          <w:rFonts w:ascii="Cambria" w:hAnsi="Cambria" w:cs="Times New Roman"/>
          <w:b/>
          <w:sz w:val="40"/>
          <w:szCs w:val="40"/>
        </w:rPr>
        <w:t>E</w:t>
      </w:r>
      <w:r w:rsidRPr="008E2F16">
        <w:rPr>
          <w:rFonts w:ascii="Cambria" w:hAnsi="Cambria" w:cs="Times New Roman"/>
          <w:b/>
          <w:sz w:val="40"/>
          <w:szCs w:val="40"/>
        </w:rPr>
        <w:t xml:space="preserve"> NA POMORSKOM DOBRU</w:t>
      </w:r>
    </w:p>
    <w:p w14:paraId="4C18D6AF" w14:textId="34BBDDBB" w:rsidR="007D3380" w:rsidRPr="008E2F16" w:rsidRDefault="007D3380" w:rsidP="007D3380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r>
        <w:rPr>
          <w:rFonts w:ascii="Cambria" w:hAnsi="Cambria" w:cs="Times New Roman"/>
          <w:b/>
          <w:sz w:val="40"/>
          <w:szCs w:val="40"/>
        </w:rPr>
        <w:t>Tekstualne upute</w:t>
      </w:r>
    </w:p>
    <w:p w14:paraId="7B6D173A" w14:textId="23210D19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60049D4" w14:textId="3C1411D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DEF6EFB" w14:textId="25815F50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F324884" w14:textId="7714E29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745B7C2" w14:textId="48A785E3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DF9031" w14:textId="4C16A042" w:rsidR="00F4584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1B0ED713" w14:textId="77777777" w:rsidR="000929D1" w:rsidRPr="00A30DD2" w:rsidRDefault="000929D1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61DFED5" w14:textId="37C600E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F2026AD" w14:textId="57613D71" w:rsidR="00E03BFC" w:rsidRPr="00A30DD2" w:rsidRDefault="00F45842" w:rsidP="00F45842">
      <w:pPr>
        <w:jc w:val="both"/>
        <w:rPr>
          <w:rFonts w:ascii="Cambria" w:hAnsi="Cambria"/>
          <w:b/>
          <w:sz w:val="28"/>
          <w:szCs w:val="28"/>
        </w:rPr>
      </w:pPr>
      <w:r w:rsidRPr="00A30DD2">
        <w:rPr>
          <w:rFonts w:ascii="Cambria" w:hAnsi="Cambria"/>
          <w:b/>
          <w:sz w:val="28"/>
          <w:szCs w:val="28"/>
        </w:rPr>
        <w:lastRenderedPageBreak/>
        <w:t>UPUTE ZA RAD</w:t>
      </w:r>
    </w:p>
    <w:p w14:paraId="15360B20" w14:textId="2DBAA0EA" w:rsidR="00271E9E" w:rsidRDefault="00F4584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Ovaj </w:t>
      </w:r>
      <w:r w:rsidR="000929D1">
        <w:rPr>
          <w:rFonts w:ascii="Cambria" w:eastAsia="Times New Roman" w:hAnsi="Cambria" w:cs="Times New Roman"/>
          <w:iCs/>
          <w:sz w:val="24"/>
          <w:szCs w:val="24"/>
          <w:lang w:eastAsia="hr-HR"/>
        </w:rPr>
        <w:t>priručnik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služi za izradu studije gospodarske opravdanosti za davanje koncesi</w:t>
      </w:r>
      <w:r w:rsidR="008E2F16">
        <w:rPr>
          <w:rFonts w:ascii="Cambria" w:eastAsia="Times New Roman" w:hAnsi="Cambria" w:cs="Times New Roman"/>
          <w:iCs/>
          <w:sz w:val="24"/>
          <w:szCs w:val="24"/>
          <w:lang w:eastAsia="hr-HR"/>
        </w:rPr>
        <w:t>je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na pomorskom dobru</w:t>
      </w:r>
      <w:r w:rsidR="007D338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te obuhvaća tekstualne smjernice za rad. 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On predstavlja minimum za izradu studije gospodarske opravdanosti stoga je potrebno popuniti sve tražene podatke prema uputama.</w:t>
      </w:r>
    </w:p>
    <w:p w14:paraId="17A1CA08" w14:textId="4A8B3EB0" w:rsidR="00F45842" w:rsidRPr="00E62537" w:rsidRDefault="009E346B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Upute za izradu pisane su </w:t>
      </w:r>
      <w:proofErr w:type="spellStart"/>
      <w:r w:rsidRP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italic</w:t>
      </w:r>
      <w:proofErr w:type="spellEnd"/>
      <w:r w:rsidRP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>stilom te ih je potrebno izbrisati.</w:t>
      </w:r>
      <w:r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Nakon završetka</w:t>
      </w:r>
      <w:r w:rsidR="005D5A46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izrade studije gospodarske opravdanosti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ažurirajte sadržaj</w:t>
      </w:r>
      <w:r w:rsidR="007D338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brojeve stranica</w:t>
      </w:r>
      <w:r w:rsidR="0013573D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sadržaja</w:t>
      </w:r>
      <w:r w:rsidR="007D3380">
        <w:rPr>
          <w:rFonts w:ascii="Cambria" w:eastAsia="Times New Roman" w:hAnsi="Cambria" w:cs="Times New Roman"/>
          <w:iCs/>
          <w:sz w:val="24"/>
          <w:szCs w:val="24"/>
          <w:lang w:eastAsia="hr-HR"/>
        </w:rPr>
        <w:t>.</w:t>
      </w:r>
    </w:p>
    <w:p w14:paraId="6DD81EA9" w14:textId="5631E006" w:rsidR="00A30DD2" w:rsidRPr="00E62537" w:rsidRDefault="00A30DD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526C16F4" w14:textId="17B96124" w:rsidR="00A30DD2" w:rsidRDefault="00A30DD2" w:rsidP="00A30DD2">
      <w:pPr>
        <w:rPr>
          <w:rFonts w:ascii="Cambria" w:hAnsi="Cambria"/>
        </w:rPr>
      </w:pPr>
    </w:p>
    <w:p w14:paraId="3DD05508" w14:textId="7C5ADB29" w:rsidR="00A30DD2" w:rsidRDefault="00A30DD2" w:rsidP="00A30DD2">
      <w:pPr>
        <w:rPr>
          <w:rFonts w:ascii="Cambria" w:hAnsi="Cambria"/>
        </w:rPr>
      </w:pPr>
    </w:p>
    <w:p w14:paraId="4496AA22" w14:textId="6309A61A" w:rsidR="00A30DD2" w:rsidRDefault="00A30DD2" w:rsidP="00A30DD2">
      <w:pPr>
        <w:rPr>
          <w:rFonts w:ascii="Cambria" w:hAnsi="Cambria"/>
        </w:rPr>
      </w:pPr>
    </w:p>
    <w:p w14:paraId="043625CA" w14:textId="2C5470E7" w:rsidR="00A30DD2" w:rsidRDefault="00A30DD2" w:rsidP="00A30DD2">
      <w:pPr>
        <w:rPr>
          <w:rFonts w:ascii="Cambria" w:hAnsi="Cambria"/>
        </w:rPr>
      </w:pPr>
    </w:p>
    <w:p w14:paraId="3E7C2270" w14:textId="3B41F855" w:rsidR="00A30DD2" w:rsidRDefault="00A30DD2" w:rsidP="00A30DD2">
      <w:pPr>
        <w:rPr>
          <w:rFonts w:ascii="Cambria" w:hAnsi="Cambria"/>
        </w:rPr>
      </w:pPr>
    </w:p>
    <w:p w14:paraId="6CE09FF4" w14:textId="006553FF" w:rsidR="00A30DD2" w:rsidRDefault="00A30DD2" w:rsidP="00A30DD2">
      <w:pPr>
        <w:rPr>
          <w:rFonts w:ascii="Cambria" w:hAnsi="Cambria"/>
        </w:rPr>
      </w:pPr>
    </w:p>
    <w:p w14:paraId="4A5416F5" w14:textId="17018D20" w:rsidR="00A30DD2" w:rsidRDefault="00A30DD2" w:rsidP="00A30DD2">
      <w:pPr>
        <w:rPr>
          <w:rFonts w:ascii="Cambria" w:hAnsi="Cambria"/>
        </w:rPr>
      </w:pPr>
    </w:p>
    <w:p w14:paraId="318FB781" w14:textId="717F9026" w:rsidR="00A30DD2" w:rsidRDefault="00A30DD2" w:rsidP="00A30DD2">
      <w:pPr>
        <w:rPr>
          <w:rFonts w:ascii="Cambria" w:hAnsi="Cambria"/>
        </w:rPr>
      </w:pPr>
    </w:p>
    <w:p w14:paraId="509971C0" w14:textId="67ED185E" w:rsidR="00A30DD2" w:rsidRDefault="00A30DD2" w:rsidP="00A30DD2">
      <w:pPr>
        <w:rPr>
          <w:rFonts w:ascii="Cambria" w:hAnsi="Cambria"/>
        </w:rPr>
      </w:pPr>
    </w:p>
    <w:p w14:paraId="0DCCB1A8" w14:textId="00C835E7" w:rsidR="00A30DD2" w:rsidRDefault="00A30DD2" w:rsidP="00A30DD2">
      <w:pPr>
        <w:rPr>
          <w:rFonts w:ascii="Cambria" w:hAnsi="Cambria"/>
        </w:rPr>
      </w:pPr>
    </w:p>
    <w:p w14:paraId="1BC8976B" w14:textId="796595B2" w:rsidR="00A30DD2" w:rsidRDefault="00A30DD2" w:rsidP="00A30DD2">
      <w:pPr>
        <w:rPr>
          <w:rFonts w:ascii="Cambria" w:hAnsi="Cambria"/>
        </w:rPr>
      </w:pPr>
    </w:p>
    <w:p w14:paraId="492CD15A" w14:textId="57683958" w:rsidR="00A30DD2" w:rsidRDefault="00A30DD2" w:rsidP="00A30DD2">
      <w:pPr>
        <w:rPr>
          <w:rFonts w:ascii="Cambria" w:hAnsi="Cambria"/>
        </w:rPr>
      </w:pPr>
    </w:p>
    <w:p w14:paraId="63DCC5BA" w14:textId="67E226FE" w:rsidR="007D3380" w:rsidRDefault="007D3380" w:rsidP="00A30DD2">
      <w:pPr>
        <w:rPr>
          <w:rFonts w:ascii="Cambria" w:hAnsi="Cambria"/>
        </w:rPr>
      </w:pPr>
    </w:p>
    <w:p w14:paraId="69FECF30" w14:textId="6F5F5A5F" w:rsidR="007D3380" w:rsidRDefault="007D3380" w:rsidP="00A30DD2">
      <w:pPr>
        <w:rPr>
          <w:rFonts w:ascii="Cambria" w:hAnsi="Cambria"/>
        </w:rPr>
      </w:pPr>
    </w:p>
    <w:p w14:paraId="381AEAF8" w14:textId="7BB4FAB1" w:rsidR="007D3380" w:rsidRDefault="007D3380" w:rsidP="00A30DD2">
      <w:pPr>
        <w:rPr>
          <w:rFonts w:ascii="Cambria" w:hAnsi="Cambria"/>
        </w:rPr>
      </w:pPr>
    </w:p>
    <w:p w14:paraId="690246E5" w14:textId="17669CEE" w:rsidR="007D3380" w:rsidRDefault="007D3380" w:rsidP="00A30DD2">
      <w:pPr>
        <w:rPr>
          <w:rFonts w:ascii="Cambria" w:hAnsi="Cambria"/>
        </w:rPr>
      </w:pPr>
    </w:p>
    <w:p w14:paraId="1FD4C34D" w14:textId="328D820F" w:rsidR="007D3380" w:rsidRDefault="007D3380" w:rsidP="00A30DD2">
      <w:pPr>
        <w:rPr>
          <w:rFonts w:ascii="Cambria" w:hAnsi="Cambria"/>
        </w:rPr>
      </w:pPr>
    </w:p>
    <w:p w14:paraId="79C3530F" w14:textId="77777777" w:rsidR="007D3380" w:rsidRDefault="007D3380" w:rsidP="00A30DD2">
      <w:pPr>
        <w:rPr>
          <w:rFonts w:ascii="Cambria" w:hAnsi="Cambria"/>
        </w:rPr>
      </w:pPr>
    </w:p>
    <w:p w14:paraId="5559F9B3" w14:textId="77CD265C" w:rsidR="00A30DD2" w:rsidRDefault="00A30DD2" w:rsidP="00A30DD2">
      <w:pPr>
        <w:rPr>
          <w:rFonts w:ascii="Cambria" w:hAnsi="Cambria"/>
        </w:rPr>
      </w:pPr>
    </w:p>
    <w:p w14:paraId="14458B90" w14:textId="4B07DBC5" w:rsidR="00A30DD2" w:rsidRDefault="00A30DD2" w:rsidP="00A30DD2">
      <w:pPr>
        <w:rPr>
          <w:rFonts w:ascii="Cambria" w:hAnsi="Cambria"/>
        </w:rPr>
      </w:pPr>
    </w:p>
    <w:p w14:paraId="0786E0D9" w14:textId="45067F1B" w:rsidR="00A30DD2" w:rsidRDefault="00A30DD2" w:rsidP="00A30DD2">
      <w:pPr>
        <w:rPr>
          <w:rFonts w:ascii="Cambria" w:hAnsi="Cambria"/>
        </w:rPr>
      </w:pPr>
    </w:p>
    <w:p w14:paraId="3652A953" w14:textId="77777777" w:rsidR="0090297A" w:rsidRDefault="0090297A" w:rsidP="00A30DD2">
      <w:pPr>
        <w:rPr>
          <w:rFonts w:ascii="Cambria" w:hAnsi="Cambria" w:cs="Times New Roman"/>
          <w:sz w:val="24"/>
          <w:szCs w:val="24"/>
        </w:rPr>
      </w:pPr>
    </w:p>
    <w:sdt>
      <w:sdtPr>
        <w:rPr>
          <w:rFonts w:ascii="Cambria" w:hAnsi="Cambria" w:cs="Times New Roman"/>
          <w:sz w:val="24"/>
          <w:szCs w:val="24"/>
        </w:rPr>
        <w:id w:val="-154574934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6BF1822C" w14:textId="5FB8243A" w:rsidR="009B47B2" w:rsidRPr="002656DB" w:rsidRDefault="009B47B2" w:rsidP="00A30DD2">
          <w:pPr>
            <w:rPr>
              <w:rFonts w:ascii="Cambria" w:hAnsi="Cambria"/>
              <w:sz w:val="24"/>
              <w:szCs w:val="24"/>
            </w:rPr>
          </w:pPr>
          <w:r w:rsidRPr="002656DB">
            <w:rPr>
              <w:rFonts w:ascii="Cambria" w:hAnsi="Cambria" w:cs="Times New Roman"/>
              <w:b/>
              <w:sz w:val="24"/>
              <w:szCs w:val="24"/>
            </w:rPr>
            <w:t>SADRŽAJ</w:t>
          </w:r>
        </w:p>
        <w:p w14:paraId="057BCAFF" w14:textId="77777777" w:rsidR="009B47B2" w:rsidRPr="002656DB" w:rsidRDefault="009B47B2" w:rsidP="009B47B2">
          <w:pPr>
            <w:rPr>
              <w:rFonts w:ascii="Cambria" w:hAnsi="Cambria" w:cs="Times New Roman"/>
              <w:sz w:val="24"/>
              <w:szCs w:val="24"/>
              <w:lang w:val="en-US"/>
            </w:rPr>
          </w:pPr>
        </w:p>
        <w:p w14:paraId="6C1A9F1E" w14:textId="37DB541F" w:rsidR="002656DB" w:rsidRPr="002656DB" w:rsidRDefault="009B47B2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r w:rsidRPr="002656DB">
            <w:rPr>
              <w:rFonts w:ascii="Cambria" w:hAnsi="Cambria" w:cs="Times New Roman"/>
              <w:sz w:val="24"/>
              <w:szCs w:val="24"/>
            </w:rPr>
            <w:fldChar w:fldCharType="begin"/>
          </w:r>
          <w:r w:rsidRPr="002656DB">
            <w:rPr>
              <w:rFonts w:ascii="Cambria" w:hAnsi="Cambria" w:cs="Times New Roman"/>
              <w:sz w:val="24"/>
              <w:szCs w:val="24"/>
            </w:rPr>
            <w:instrText xml:space="preserve"> TOC \o "1-3" \h \z \u </w:instrText>
          </w:r>
          <w:r w:rsidRPr="002656DB">
            <w:rPr>
              <w:rFonts w:ascii="Cambria" w:hAnsi="Cambria" w:cs="Times New Roman"/>
              <w:sz w:val="24"/>
              <w:szCs w:val="24"/>
            </w:rPr>
            <w:fldChar w:fldCharType="separate"/>
          </w:r>
          <w:hyperlink w:anchor="_Toc56186187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1.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Sažetak studije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_Toc56186187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0A70B6">
              <w:rPr>
                <w:rFonts w:ascii="Cambria" w:hAnsi="Cambria"/>
                <w:noProof/>
                <w:webHidden/>
                <w:sz w:val="24"/>
                <w:szCs w:val="24"/>
              </w:rPr>
              <w:t>1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7355D" w14:textId="1B189DDC" w:rsidR="002656DB" w:rsidRPr="002656DB" w:rsidRDefault="000A70B6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88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2.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Opće informacije o investitoru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_Toc56186188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2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A7072E" w14:textId="59D281E3" w:rsidR="002656DB" w:rsidRPr="002656DB" w:rsidRDefault="000A70B6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89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3.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Postojeće stanje lokacije za koju se traži koncesija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_Toc56186189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2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CB33C0" w14:textId="1EC84ED0" w:rsidR="002656DB" w:rsidRPr="002656DB" w:rsidRDefault="000A70B6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0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Investicije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_Toc56186190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CFD88" w14:textId="3CE50771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1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4.1.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planirane investicije u osnovna sredstva detaljno razrađen pojedinačno po godinama za cjelokupno vrijeme trajanja koncesije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_Toc56186191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70765" w14:textId="7F7A65D3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2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4.2.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planirane investicije u zaštitu okoliša detaljno razrađen pojedinačno po godinama za cjelokupno vrijeme trajanja koncesije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_Toc56186192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3A85A" w14:textId="680E5B7A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3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4.3.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ukupne investicije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_Toc56186193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4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E4582" w14:textId="4891C4A8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4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4.4.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Izvori financiranja investicije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_Toc56186194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4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D6AA4" w14:textId="72D819DC" w:rsidR="002656DB" w:rsidRPr="002656DB" w:rsidRDefault="000A70B6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5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Ekonomsko – financijska analiza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_Toc56186195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5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0CF6C" w14:textId="28F20AC1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6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5.1.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Procjena prihoda po djelatnostima za cjelokupno vrijeme trajanja koncesije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_Toc56186196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5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244C4" w14:textId="7587212B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7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Procjena rashoda za cjelokupno vrijeme trajanja koncesije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_Toc56186197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6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14E793" w14:textId="7DD7420E" w:rsidR="002656DB" w:rsidRPr="002656DB" w:rsidRDefault="000A70B6">
          <w:pPr>
            <w:pStyle w:val="TOC3"/>
            <w:tabs>
              <w:tab w:val="left" w:pos="132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8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5.2.1.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Materijalni i ostali troškovi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_Toc56186198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4BA1C" w14:textId="21D39491" w:rsidR="002656DB" w:rsidRPr="002656DB" w:rsidRDefault="000A70B6">
          <w:pPr>
            <w:pStyle w:val="TOC3"/>
            <w:tabs>
              <w:tab w:val="left" w:pos="132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199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5.2.2.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Troškovi zaposlenika te struktura i broj zaposlenih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_Toc56186199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4977E" w14:textId="421AF60A" w:rsidR="002656DB" w:rsidRPr="002656DB" w:rsidRDefault="000A70B6">
          <w:pPr>
            <w:pStyle w:val="TOC3"/>
            <w:tabs>
              <w:tab w:val="left" w:pos="132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0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5.2.3.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Obračun amortizacije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_Toc56186200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49603" w14:textId="68435AEA" w:rsidR="002656DB" w:rsidRPr="002656DB" w:rsidRDefault="000A70B6">
          <w:pPr>
            <w:pStyle w:val="TOC3"/>
            <w:tabs>
              <w:tab w:val="left" w:pos="132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1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5.2.4.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Financijski rashodi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_Toc56186201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BD7BF" w14:textId="55C195B3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2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5.3.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Račun dobiti i gubitka projekta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_Toc56186202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0682C" w14:textId="4929B7C8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3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5.4.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Financijski tok projekta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_Toc56186203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4912C9" w14:textId="1E39B5D8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4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5.5.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Ekonomski tok projekta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_Toc56186204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288B4" w14:textId="0B992481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5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5.6.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Metoda razdoblja povrata investicije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_Toc56186205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11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33982" w14:textId="3E25829F" w:rsidR="002656DB" w:rsidRPr="002656DB" w:rsidRDefault="000A70B6">
          <w:pPr>
            <w:pStyle w:val="TOC2"/>
            <w:tabs>
              <w:tab w:val="left" w:pos="88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6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5.7.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Statička ocjena efikasnosti projekta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_Toc56186206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11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1FB14" w14:textId="64440899" w:rsidR="002656DB" w:rsidRPr="002656DB" w:rsidRDefault="000A70B6">
          <w:pPr>
            <w:pStyle w:val="TOC1"/>
            <w:tabs>
              <w:tab w:val="left" w:pos="440"/>
              <w:tab w:val="right" w:leader="dot" w:pos="9060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86207" w:history="1"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6.</w:t>
            </w:r>
            <w:r w:rsidR="002656DB" w:rsidRPr="002656DB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2656DB" w:rsidRPr="002656DB">
              <w:rPr>
                <w:rStyle w:val="Hyperlink"/>
                <w:rFonts w:ascii="Cambria" w:hAnsi="Cambria"/>
                <w:noProof/>
                <w:sz w:val="24"/>
                <w:szCs w:val="24"/>
              </w:rPr>
              <w:t>Zaključna ocjena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_Toc56186207 \h </w:instrTex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webHidden/>
                <w:sz w:val="24"/>
                <w:szCs w:val="24"/>
              </w:rPr>
              <w:t>12</w:t>
            </w:r>
            <w:r w:rsidR="002656DB" w:rsidRPr="002656DB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BBC9C" w14:textId="50C68CF6" w:rsidR="009B47B2" w:rsidRPr="00CF1B4F" w:rsidRDefault="009B47B2">
          <w:pPr>
            <w:rPr>
              <w:rFonts w:ascii="Cambria" w:hAnsi="Cambria"/>
              <w:sz w:val="24"/>
              <w:szCs w:val="24"/>
            </w:rPr>
          </w:pPr>
          <w:r w:rsidRPr="002656DB">
            <w:rPr>
              <w:rFonts w:ascii="Cambria" w:hAnsi="Cambria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16FDFFE" w14:textId="77777777" w:rsidR="009B47B2" w:rsidRPr="00271E9E" w:rsidRDefault="009B47B2" w:rsidP="009B47B2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9E26CD" w14:textId="16B3210B" w:rsidR="000D6602" w:rsidRDefault="000D6602" w:rsidP="00C950E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0711D96" w14:textId="77777777" w:rsidR="002656DB" w:rsidRDefault="002656DB" w:rsidP="00C950EC">
      <w:pPr>
        <w:jc w:val="center"/>
        <w:rPr>
          <w:rFonts w:ascii="Cambria" w:hAnsi="Cambria" w:cs="Times New Roman"/>
          <w:b/>
          <w:sz w:val="28"/>
          <w:szCs w:val="28"/>
        </w:rPr>
        <w:sectPr w:rsidR="002656DB" w:rsidSect="00DB792E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pgNumType w:fmt="upperRoman"/>
          <w:cols w:space="708"/>
          <w:titlePg/>
          <w:docGrid w:linePitch="360"/>
        </w:sectPr>
      </w:pPr>
    </w:p>
    <w:p w14:paraId="71ADB9AD" w14:textId="7EE2A613" w:rsidR="00C950EC" w:rsidRPr="00A30DD2" w:rsidRDefault="00347CB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1" w:name="_Toc56186187"/>
      <w:r w:rsidRPr="00A30DD2">
        <w:rPr>
          <w:rFonts w:ascii="Cambria" w:hAnsi="Cambria"/>
        </w:rPr>
        <w:lastRenderedPageBreak/>
        <w:t>Sažetak studi</w:t>
      </w:r>
      <w:r w:rsidR="00C950EC" w:rsidRPr="00A30DD2">
        <w:rPr>
          <w:rFonts w:ascii="Cambria" w:hAnsi="Cambria"/>
        </w:rPr>
        <w:t>je</w:t>
      </w:r>
      <w:bookmarkEnd w:id="1"/>
    </w:p>
    <w:p w14:paraId="7F678A9F" w14:textId="77777777" w:rsidR="000D6602" w:rsidRPr="00A30DD2" w:rsidRDefault="000D6602" w:rsidP="000D6602">
      <w:pPr>
        <w:pStyle w:val="ListParagraph"/>
        <w:jc w:val="both"/>
        <w:rPr>
          <w:rFonts w:ascii="Cambria" w:hAnsi="Cambria" w:cs="Times New Roman"/>
          <w:b/>
          <w:sz w:val="28"/>
          <w:szCs w:val="28"/>
        </w:rPr>
      </w:pPr>
    </w:p>
    <w:p w14:paraId="262F5E34" w14:textId="01443E8B" w:rsidR="00C950EC" w:rsidRPr="0038731E" w:rsidRDefault="00AA0CC7" w:rsidP="000D6602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Upute: popunite sljedeću tablicu.</w:t>
      </w:r>
    </w:p>
    <w:p w14:paraId="25A5E2B5" w14:textId="67F705E1" w:rsidR="000D6602" w:rsidRPr="00A30DD2" w:rsidRDefault="000D6602" w:rsidP="00F9423B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2815"/>
      </w:tblGrid>
      <w:tr w:rsidR="00875EF9" w:rsidRPr="00A30DD2" w14:paraId="282841D3" w14:textId="77777777" w:rsidTr="00F9423B">
        <w:trPr>
          <w:trHeight w:val="586"/>
        </w:trPr>
        <w:tc>
          <w:tcPr>
            <w:tcW w:w="5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543" w14:textId="6C39E82F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b/>
                <w:sz w:val="24"/>
                <w:szCs w:val="24"/>
              </w:rPr>
              <w:t>Podaci o investitoru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530A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423B" w:rsidRPr="00A30DD2" w14:paraId="62F365D7" w14:textId="77777777" w:rsidTr="00F9423B">
        <w:trPr>
          <w:trHeight w:val="586"/>
        </w:trPr>
        <w:tc>
          <w:tcPr>
            <w:tcW w:w="5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D442" w14:textId="3DED78DD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 xml:space="preserve">Naziv </w:t>
            </w:r>
            <w:r w:rsidR="000929D1" w:rsidRPr="000929D1">
              <w:rPr>
                <w:rFonts w:ascii="Cambria" w:hAnsi="Cambria" w:cs="Times New Roman"/>
                <w:sz w:val="24"/>
                <w:szCs w:val="24"/>
              </w:rPr>
              <w:t>gospodarsk</w:t>
            </w:r>
            <w:r w:rsidR="000929D1">
              <w:rPr>
                <w:rFonts w:ascii="Cambria" w:hAnsi="Cambria" w:cs="Times New Roman"/>
                <w:sz w:val="24"/>
                <w:szCs w:val="24"/>
              </w:rPr>
              <w:t>og</w:t>
            </w:r>
            <w:r w:rsidR="000929D1" w:rsidRPr="000929D1">
              <w:rPr>
                <w:rFonts w:ascii="Cambria" w:hAnsi="Cambria" w:cs="Times New Roman"/>
                <w:sz w:val="24"/>
                <w:szCs w:val="24"/>
              </w:rPr>
              <w:t xml:space="preserve"> subjekt</w:t>
            </w:r>
            <w:r w:rsidR="000929D1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3AC3C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787F930F" w14:textId="77777777" w:rsidTr="00F9423B">
        <w:trPr>
          <w:trHeight w:val="586"/>
        </w:trPr>
        <w:tc>
          <w:tcPr>
            <w:tcW w:w="5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049" w14:textId="048D3F80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Glavne informacije iz studije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9C2B7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423B" w:rsidRPr="00A30DD2" w14:paraId="2C2C27DB" w14:textId="77777777" w:rsidTr="00F9423B">
        <w:trPr>
          <w:trHeight w:val="586"/>
        </w:trPr>
        <w:tc>
          <w:tcPr>
            <w:tcW w:w="5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AD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stalnog dijela koncesijske naknade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73AEB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0889883B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1D84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% promjenjivog dijela koncesijske naknade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2B57F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7AD2E218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F0AA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ukupnog investicijskog ulaganja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C6A32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3D366026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89C12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investicije u zaštitu okoliša</w:t>
            </w:r>
          </w:p>
          <w:p w14:paraId="21C82101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(u okviru ukupnih investicija)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6DB43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636BD7FE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35E3B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Broj planiranih novootvorenih radnih mjesta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2E1C4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8B88F43" w14:textId="1B5CBF94" w:rsidR="000D6602" w:rsidRPr="00A30DD2" w:rsidRDefault="000D6602" w:rsidP="00F9423B">
      <w:pPr>
        <w:jc w:val="both"/>
        <w:rPr>
          <w:rFonts w:ascii="Cambria" w:hAnsi="Cambria" w:cs="Times New Roman"/>
          <w:sz w:val="24"/>
          <w:szCs w:val="24"/>
        </w:rPr>
      </w:pPr>
    </w:p>
    <w:p w14:paraId="502E5A1F" w14:textId="1D442A6F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B1CAFA0" w14:textId="768A7C04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9C49F10" w14:textId="4716FB29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002BEB0C" w14:textId="7DE6CFA1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1AB84DD9" w14:textId="20AE7A76" w:rsidR="000D660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09CB4DE" w14:textId="76D384BB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B980334" w14:textId="01BFB2BE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38D620" w14:textId="497B5ED2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EA3ED8F" w14:textId="3701F52E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127B090" w14:textId="4AAD6FC2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7AA55172" w14:textId="333278CD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512A03" w14:textId="77777777" w:rsidR="00F9423B" w:rsidRPr="00A30DD2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2F0FA5A" w14:textId="77777777" w:rsidR="009B47B2" w:rsidRPr="00A30DD2" w:rsidRDefault="009B47B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F58C3F" w14:textId="77777777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577BEBC" w14:textId="19404697" w:rsidR="009B47B2" w:rsidRPr="00E62537" w:rsidRDefault="00347CBE" w:rsidP="009B47B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2" w:name="_Toc56186188"/>
      <w:r w:rsidRPr="00A30DD2">
        <w:rPr>
          <w:rFonts w:ascii="Cambria" w:hAnsi="Cambria"/>
        </w:rPr>
        <w:lastRenderedPageBreak/>
        <w:t>Opće informacije</w:t>
      </w:r>
      <w:r w:rsidR="004C032E" w:rsidRPr="00A30DD2">
        <w:rPr>
          <w:rFonts w:ascii="Cambria" w:hAnsi="Cambria"/>
        </w:rPr>
        <w:t xml:space="preserve"> o</w:t>
      </w:r>
      <w:r w:rsidRPr="00A30DD2">
        <w:rPr>
          <w:rFonts w:ascii="Cambria" w:hAnsi="Cambria"/>
        </w:rPr>
        <w:t xml:space="preserve"> investitoru</w:t>
      </w:r>
      <w:bookmarkEnd w:id="2"/>
    </w:p>
    <w:p w14:paraId="569DD302" w14:textId="77777777" w:rsidR="00697F29" w:rsidRDefault="00697F29" w:rsidP="00EA0369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697F2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opisati gospodarski subjekt – informacije iz registracije tvrtke o nazivu, adresi, matičnim i osobnim oznakama, pravnom obliku osnivanja, datumu osnivanja, registriranim djelatnostima, koliko ima godina iskustva u djelatnosti za koju se traži koncesija, da li je u sustavu PDV-a, da li ima iskustva s koncesijama ili drugim oblikom gospodarenja pomorskim dobrom, reference investitora, koliko ima zaposlenih, raspoloživost stručnog kadra, itd.</w:t>
      </w:r>
    </w:p>
    <w:p w14:paraId="19AC26FA" w14:textId="49A19354" w:rsidR="001B4D11" w:rsidRDefault="00EA0369" w:rsidP="00EA0369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Opisati cilj projekta za poduzetnika, njegove glavne karakteristike, način provedbe projekta kao i očekivane rezultate za </w:t>
      </w:r>
      <w:r w:rsidR="000929D1">
        <w:rPr>
          <w:rFonts w:ascii="Cambria" w:hAnsi="Cambria" w:cs="Times New Roman"/>
          <w:i/>
          <w:sz w:val="24"/>
          <w:szCs w:val="24"/>
        </w:rPr>
        <w:t>gospodarski subjekt</w:t>
      </w: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Navesti i opisati očekivane koristi od projekta za </w:t>
      </w:r>
      <w:r w:rsidR="000929D1">
        <w:rPr>
          <w:rFonts w:ascii="Cambria" w:hAnsi="Cambria" w:cs="Times New Roman"/>
          <w:i/>
          <w:sz w:val="24"/>
          <w:szCs w:val="24"/>
        </w:rPr>
        <w:t>gospodarski subjekt</w:t>
      </w: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zajednicu tj. područje na kojemu će se obavljati gospodarska djelatnost koja je predmet koncesije.</w:t>
      </w:r>
    </w:p>
    <w:p w14:paraId="06395BBB" w14:textId="77777777" w:rsidR="00EA0369" w:rsidRDefault="00EA0369" w:rsidP="00EA0369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451D233" w14:textId="01C13F51" w:rsidR="007866B8" w:rsidRPr="00A30DD2" w:rsidRDefault="00347CB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3" w:name="_Toc56186189"/>
      <w:r w:rsidRPr="00A30DD2">
        <w:rPr>
          <w:rFonts w:ascii="Cambria" w:hAnsi="Cambria"/>
        </w:rPr>
        <w:t>Postojeće stanje lokacije za koju se traži koncesija</w:t>
      </w:r>
      <w:bookmarkEnd w:id="3"/>
    </w:p>
    <w:p w14:paraId="06EA4CF6" w14:textId="77777777" w:rsidR="00377947" w:rsidRPr="00377947" w:rsidRDefault="00377947" w:rsidP="00377947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37794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Opisati mikro lokaciju područja koje se uzima u koncesiju te navesti za koju namjenu se uzima koncesija referirajući se na vrstu djelatnosti. Navesti ukupnu površinu i katastarske čestice predmetne lokacije. Ukoliko je primjenjivo, navesti zasebno površinu kopnenog dijela i morskog dijela koncesijskog prostora. Navesti HTRS koordinate ukoliko postoji informacija.</w:t>
      </w:r>
    </w:p>
    <w:p w14:paraId="0A40BC37" w14:textId="65971A8F" w:rsidR="001B4D11" w:rsidRDefault="00377947" w:rsidP="00377947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37794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detaljno opisati područje koje se uzima u koncesiju. Opisati infrastrukturne i prometne karakteristike koncesijskog područja kao i moguće buduće prostorno – planske razvojne tendencije i potencijal. Navesti vrstu područja (</w:t>
      </w:r>
      <w:proofErr w:type="spellStart"/>
      <w:r w:rsidRPr="0037794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privezište</w:t>
      </w:r>
      <w:proofErr w:type="spellEnd"/>
      <w:r w:rsidRPr="0037794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plaža i sl.) te opisati trenutno stanje i uređenost. Specificirati potrebu za modernizacijom prostora i nabavkom potrebno opreme ili ocijeniti pozitivnim trenutno stanje koncesijskog prostora za obavljanje planiranih koncesijskih djelatnosti. Priložiti grafički prikaz koncesijskog područja.</w:t>
      </w:r>
    </w:p>
    <w:p w14:paraId="58ED0032" w14:textId="00FA7BCE" w:rsidR="001B4D11" w:rsidRDefault="001B4D11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46C5193" w14:textId="77777777" w:rsidR="001B4D11" w:rsidRDefault="001B4D11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EA766FE" w14:textId="250EBA81" w:rsidR="005272CA" w:rsidRPr="00A30DD2" w:rsidRDefault="004C032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4" w:name="_Toc56186190"/>
      <w:r w:rsidRPr="00A30DD2">
        <w:rPr>
          <w:rFonts w:ascii="Cambria" w:hAnsi="Cambria"/>
        </w:rPr>
        <w:lastRenderedPageBreak/>
        <w:t>Investicije</w:t>
      </w:r>
      <w:bookmarkEnd w:id="4"/>
    </w:p>
    <w:p w14:paraId="488328E8" w14:textId="1ECDFF48" w:rsidR="00EA0369" w:rsidRPr="00EA0369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Dugotrajnom materijalnom i nematerijalnom imovinom smatraju se stvari i prava čiji je pojedinačni trošak nabave veći od 3</w:t>
      </w:r>
      <w:r w:rsidR="00A003E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500,00 kn i vijek trajanja duži od godinu dana.</w:t>
      </w:r>
      <w:r>
        <w:rPr>
          <w:rStyle w:val="FootnoteReference"/>
          <w:rFonts w:ascii="Cambria" w:eastAsia="Times New Roman" w:hAnsi="Cambria" w:cs="Times New Roman"/>
          <w:i/>
          <w:iCs/>
          <w:sz w:val="24"/>
          <w:szCs w:val="24"/>
          <w:lang w:eastAsia="hr-HR"/>
        </w:rPr>
        <w:footnoteReference w:id="1"/>
      </w: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opisati strukturu planiranih ulaganja u dugotrajnu imovinu te potrebne kapacitete za nesmetano obavljanje poslovanja na koncesijskom prostoru. U sklopu navedenoga, potrebno je razdijeliti komponentu ulaganja u osnovna sredstva i komponentu ulaganja u zaštitu okoliša. Detaljnije objasniti specifikacije pojedinih investicija ukoliko je primjenjivo.</w:t>
      </w:r>
    </w:p>
    <w:p w14:paraId="6AC5321B" w14:textId="77777777" w:rsidR="00EA0369" w:rsidRPr="00EA0369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Zasebno opisati procijenjeni utjecaj investicija u osnovna sredstva na koncesijski prostor i okolno područje kao i procijenjeni utjecaj investicija u zaštitu okoliša na koncesijski prostor i okolno područje. Navesti ukupan iznos investicije bez poreza na dodanu vrijednost te navedeni iznos raščlaniti na investicije u osnovna sredstva i investicije u zaštitu okoliša. Tekuće i investicijsko održavanje ne spada pod investicije već pod rashode.</w:t>
      </w:r>
    </w:p>
    <w:p w14:paraId="5235B518" w14:textId="75549272" w:rsidR="005608F1" w:rsidRDefault="005608F1" w:rsidP="0086435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30C2399A" w14:textId="421DA442" w:rsidR="00C950EC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5" w:name="_Toc56186191"/>
      <w:r w:rsidRPr="00A30DD2">
        <w:rPr>
          <w:rFonts w:ascii="Cambria" w:hAnsi="Cambria"/>
        </w:rPr>
        <w:t xml:space="preserve">Iznos planirane investicije u </w:t>
      </w:r>
      <w:r w:rsidR="00E07D24" w:rsidRPr="00A30DD2">
        <w:rPr>
          <w:rFonts w:ascii="Cambria" w:hAnsi="Cambria"/>
        </w:rPr>
        <w:t>osnovna</w:t>
      </w:r>
      <w:r w:rsidRPr="00A30DD2">
        <w:rPr>
          <w:rFonts w:ascii="Cambria" w:hAnsi="Cambria"/>
        </w:rPr>
        <w:t xml:space="preserve"> sredstva detaljno razrađen pojedinačno po</w:t>
      </w:r>
      <w:r w:rsidR="00D305A3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godinama za cjelokupno vrijeme trajanja koncesije</w:t>
      </w:r>
      <w:bookmarkEnd w:id="5"/>
    </w:p>
    <w:p w14:paraId="2F89E9F0" w14:textId="6EA87496" w:rsidR="00C950EC" w:rsidRDefault="007D3380" w:rsidP="0086435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86435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Specificirati</w:t>
      </w:r>
      <w:r w:rsidR="00CF1B4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opisati planirane</w:t>
      </w:r>
      <w:r w:rsidRPr="0086435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investicije u osnovna sredst</w:t>
      </w:r>
      <w:r w:rsidR="00CF1B4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va koje će se realizirati u periodu trajanja koncesije.</w:t>
      </w:r>
    </w:p>
    <w:p w14:paraId="4F8D9EFE" w14:textId="77777777" w:rsidR="00CF1B4F" w:rsidRDefault="00CF1B4F" w:rsidP="0086435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62119C9" w14:textId="05CE3C6B" w:rsidR="00676743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6" w:name="_Toc56186192"/>
      <w:r w:rsidRPr="00A30DD2">
        <w:rPr>
          <w:rFonts w:ascii="Cambria" w:hAnsi="Cambria"/>
        </w:rPr>
        <w:t>Iznos planirane investicije u zaštitu okoliša detaljno razrađen pojedinačno po godinama za cjelokupno vrijeme trajanja koncesije</w:t>
      </w:r>
      <w:bookmarkEnd w:id="6"/>
    </w:p>
    <w:p w14:paraId="71E6FA00" w14:textId="4B35DF83" w:rsidR="00CF1B4F" w:rsidRPr="00CF1B4F" w:rsidRDefault="00CF1B4F" w:rsidP="00CF1B4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CF1B4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Specificirati i opisati planirane investicije u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zaštitu okoliša</w:t>
      </w:r>
      <w:r w:rsidRPr="00CF1B4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koje će se realizirati u periodu trajanja koncesije.</w:t>
      </w:r>
    </w:p>
    <w:p w14:paraId="55116DEF" w14:textId="77777777" w:rsidR="007D3380" w:rsidRPr="00864354" w:rsidRDefault="007D3380" w:rsidP="00864354">
      <w:pPr>
        <w:jc w:val="both"/>
        <w:rPr>
          <w:rFonts w:ascii="Cambria" w:hAnsi="Cambria" w:cs="Times New Roman"/>
          <w:b/>
          <w:sz w:val="28"/>
          <w:szCs w:val="28"/>
        </w:rPr>
        <w:sectPr w:rsidR="007D3380" w:rsidRPr="00864354" w:rsidSect="002656DB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1BECC2C" w14:textId="138CB871" w:rsidR="00E07D24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7" w:name="_Toc56186193"/>
      <w:r w:rsidRPr="00A30DD2">
        <w:rPr>
          <w:rFonts w:ascii="Cambria" w:hAnsi="Cambria"/>
        </w:rPr>
        <w:lastRenderedPageBreak/>
        <w:t>Iznos ukupne investicije</w:t>
      </w:r>
      <w:bookmarkEnd w:id="7"/>
    </w:p>
    <w:p w14:paraId="22C1E550" w14:textId="4BC9EF86" w:rsidR="00E62537" w:rsidRDefault="00E07D24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Investicije u osnovna sredstva i zaštitu okoliša detaljno su razrađene po pojedinim stavkama u prethodnim </w:t>
      </w:r>
      <w:proofErr w:type="spellStart"/>
      <w:r w:rsidR="0086435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potpoglavljima</w:t>
      </w:r>
      <w:proofErr w:type="spellEnd"/>
      <w:r w:rsidR="004A7148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dok je u </w:t>
      </w:r>
      <w:r w:rsidR="0086435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ovome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navesti zbroj navedenih investicija, odnosno ukupni iznos investicija pojedinačno po godinama.</w:t>
      </w:r>
    </w:p>
    <w:p w14:paraId="1CF6C2F2" w14:textId="77777777" w:rsidR="00EA0369" w:rsidRDefault="00EA0369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5D3D802" w14:textId="171C446B" w:rsidR="00012629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8" w:name="_Toc56186194"/>
      <w:r w:rsidRPr="00A30DD2">
        <w:rPr>
          <w:rFonts w:ascii="Cambria" w:hAnsi="Cambria"/>
        </w:rPr>
        <w:t>Izvori</w:t>
      </w:r>
      <w:r w:rsidR="00A1186F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financiranja investicije</w:t>
      </w:r>
      <w:bookmarkEnd w:id="8"/>
    </w:p>
    <w:p w14:paraId="40420461" w14:textId="44986A86" w:rsidR="00DE776C" w:rsidRDefault="00CD1DC1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Prilikom prijave projekta, potrebno je da poduzetnik ima </w:t>
      </w:r>
      <w:r w:rsidR="00DE776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razrađen plan zatvaranja financijske konstrukcije koji može obuhvaćati tri scenarija:</w:t>
      </w:r>
    </w:p>
    <w:p w14:paraId="54C99961" w14:textId="5D8BA650" w:rsidR="00DE776C" w:rsidRPr="00CD1DC1" w:rsidRDefault="00DE776C" w:rsidP="00CD1DC1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Financiranje vlastitim sredstvima</w:t>
      </w:r>
    </w:p>
    <w:p w14:paraId="4626EC2D" w14:textId="77777777" w:rsidR="00746AAB" w:rsidRDefault="00DE776C" w:rsidP="00746AAB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Navedeno podrazumijeva da </w:t>
      </w:r>
      <w:r w:rsidR="0048662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poduzetnik ima osiguran iznos vlastitih sredstava koji će koristiti za podmirenje ulaganja u dugotrajnu imovinu.</w:t>
      </w:r>
    </w:p>
    <w:p w14:paraId="0F491C8B" w14:textId="5BF0F654" w:rsidR="00DE776C" w:rsidRPr="00746AAB" w:rsidRDefault="00DE776C" w:rsidP="00746AA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Financiranje kreditom banke</w:t>
      </w:r>
    </w:p>
    <w:p w14:paraId="54F4D786" w14:textId="5398937C" w:rsidR="00486626" w:rsidRDefault="00486626" w:rsidP="00486626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Ukoliko poduzetnik ne koristi vlastita sredstva, potrebno je definirati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zatvaranje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financijske konstrukcije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putem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financiranj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</w:t>
      </w:r>
      <w:r w:rsidR="00860B3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bankarskim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kreditom. Prijavitelj mora biti spreman izraditi okvirni plan otplate kredita za potrebe daljnjih 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procjena i analiza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ekonomsko – financi</w:t>
      </w:r>
      <w:r w:rsid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jskog dijela projekta.</w:t>
      </w:r>
    </w:p>
    <w:p w14:paraId="3FBCA363" w14:textId="027971A7" w:rsidR="00DE776C" w:rsidRDefault="00DE776C" w:rsidP="00746AA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Kombinirano financiranje</w:t>
      </w:r>
    </w:p>
    <w:p w14:paraId="063BE6E4" w14:textId="07CDE781" w:rsidR="004C7A7D" w:rsidRDefault="00486626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Navedeno podrazumijeva da poduzetnik namjerava djelomično koristiti vlastita sredstva, a djelomično kredit banke. Prijavitelj mora biti spreman, za iznos koji se planira posuditi od banke, izraditi okvirni plan otplate kredita za 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potrebe </w:t>
      </w:r>
      <w:r w:rsid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daljnjih procjena i analiza ekonomsko – financijskog dijela projekta.</w:t>
      </w:r>
    </w:p>
    <w:p w14:paraId="0136EE40" w14:textId="335EAB13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4FFB5205" w14:textId="1FFE97EC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516F415" w14:textId="5C9E77B5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46634FCB" w14:textId="5DB1BC2C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222CDC7" w14:textId="65590F1B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4A559B3" w14:textId="77777777" w:rsidR="00864354" w:rsidRDefault="00864354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202D9ED" w14:textId="30D1DA39" w:rsidR="004C032E" w:rsidRPr="00A30DD2" w:rsidRDefault="004C032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9" w:name="_Toc56186195"/>
      <w:r w:rsidRPr="00A30DD2">
        <w:rPr>
          <w:rFonts w:ascii="Cambria" w:hAnsi="Cambria"/>
        </w:rPr>
        <w:lastRenderedPageBreak/>
        <w:t>Ekonomsko – financijska analiza</w:t>
      </w:r>
      <w:bookmarkEnd w:id="9"/>
    </w:p>
    <w:p w14:paraId="48C3BECF" w14:textId="0EDC9AE1" w:rsidR="00EA0369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Ekonomsko – financijskom analizom procjenjuje se isplativost projekta i samog poslovanja na koncesijskom prostoru. Analizu je potrebno izraditi na temelju detaljne, transparentne i opravdane procjene prihoda i rashoda za cjelokupno vrijeme trajanja koncesije. Prihodi moraju obuhvaćati sve djelatnosti koje će stvarati novčane priljeve, a predmetom su koncesijskog ugovora, dok je rashode potrebno raščlaniti na materijalne</w:t>
      </w:r>
      <w:r w:rsidR="004440A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ostale</w:t>
      </w:r>
      <w:r w:rsidRPr="00EA036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troškove, troškove zaposlenika i troškove amortizacije. Potrebno je izraditi račun dobiti i gubitka te provesti dinamičke i statičke ocjene efikasnosti projekta koje čine temelj za odluku o investiranju u poduzetnički poduhvat.</w:t>
      </w:r>
    </w:p>
    <w:p w14:paraId="292D0FB6" w14:textId="77777777" w:rsidR="004440A7" w:rsidRPr="00EA0369" w:rsidRDefault="004440A7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A79DFC0" w14:textId="269E3CDA" w:rsidR="00EB1A9D" w:rsidRPr="00E62537" w:rsidRDefault="004C032E" w:rsidP="00EB1A9D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10" w:name="_Toc56186196"/>
      <w:r w:rsidRPr="00A30DD2">
        <w:rPr>
          <w:rFonts w:ascii="Cambria" w:hAnsi="Cambria"/>
        </w:rPr>
        <w:t>Procjena prihoda po djelatnostima za cjelokupno vrijeme trajanja koncesije</w:t>
      </w:r>
      <w:bookmarkEnd w:id="10"/>
    </w:p>
    <w:p w14:paraId="584F1AED" w14:textId="4663AC3E" w:rsidR="00E62537" w:rsidRPr="009A4B5E" w:rsidRDefault="009432CF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napraviti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A9653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transparentnu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095B44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procjenu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svih prihoda koji će se ostvariti poslovanjem na </w:t>
      </w:r>
      <w:r w:rsidRPr="009A4B5E">
        <w:rPr>
          <w:rFonts w:ascii="Cambria" w:hAnsi="Cambria" w:cs="Times New Roman"/>
          <w:i/>
          <w:sz w:val="24"/>
          <w:szCs w:val="24"/>
        </w:rPr>
        <w:t>koncesijskom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prostoru.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Budući da ostvareni prihodi čine temelj za detaljniju ekonomsko – financijsku analizu </w:t>
      </w:r>
      <w:r w:rsidR="00F546D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važno je da budu procijenjeni što preciznije.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uvodnom dijelu </w:t>
      </w:r>
      <w:proofErr w:type="spellStart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potpoglavlja</w:t>
      </w:r>
      <w:proofErr w:type="spellEnd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</w:t>
      </w:r>
      <w:r w:rsidR="005979F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definirati i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opisati djelatnosti koje će se obavljati na koncesijskom prostoru</w:t>
      </w:r>
      <w:r w:rsidR="00F546D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6C3B72F5" w14:textId="47EF0403" w:rsidR="00E62537" w:rsidRPr="009A4B5E" w:rsidRDefault="00F546DF" w:rsidP="004E4136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Kako bi se prihodi mogli što točnije procijeniti, a zajedno s njima i buduća kretanja, potrebno je prethodno analizirati slične poslovne 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objekte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ili vlastito iskustvo </w:t>
      </w:r>
      <w:r w:rsidR="00AA0CC7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poduzetnika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te obrazložiti na čemu se temelji procjena.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Analiza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sličnih poslovnih objekata te procjena prihoda na koncesijskom prostoru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mora</w:t>
      </w:r>
      <w:r w:rsid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ju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pratiti sljedeće smjernice:</w:t>
      </w:r>
    </w:p>
    <w:p w14:paraId="2AAA3E34" w14:textId="04D7F6C9" w:rsidR="00F546DF" w:rsidRPr="009A4B5E" w:rsidRDefault="00F546DF" w:rsidP="004E413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Struktura kupaca – turisti ili domaći kupci, analizirati broj turista i broj stanovnika te njihovu 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potražnju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 djelatnošću koja je predmet koncesije</w:t>
      </w:r>
    </w:p>
    <w:p w14:paraId="1BC4CEA9" w14:textId="3F72157A" w:rsidR="00F546DF" w:rsidRPr="009A4B5E" w:rsidRDefault="00F546DF" w:rsidP="004E4136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proofErr w:type="spellStart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Sezonalnost</w:t>
      </w:r>
      <w:proofErr w:type="spellEnd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– radi li se o djelatnosti koja ima sezonsku potražnju ili cjelogodišnju</w:t>
      </w:r>
    </w:p>
    <w:p w14:paraId="16AEC9C2" w14:textId="0A0041FB" w:rsidR="00F546DF" w:rsidRPr="009A4B5E" w:rsidRDefault="00F546DF" w:rsidP="004E4136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Atraktivnost lokacije – utjecaj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lokacije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 generiranje viših ili nižih prihoda</w:t>
      </w:r>
    </w:p>
    <w:p w14:paraId="0DFB401E" w14:textId="4F759994" w:rsidR="00E62537" w:rsidRPr="009A4B5E" w:rsidRDefault="00E62537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S obzirom da su mnoge djelatnosti na pomorskim dobrima vezane uz ljetnu sezonu, pri analizi i projekciji prihoda na koncesijskom prostoru posebno je prepoznata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važnost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definiranja i analize potreba domaćeg stanovništva i potreba turista kao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ključnih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parametara koji utječu na veličinu potražnje za uslugama.</w:t>
      </w:r>
    </w:p>
    <w:p w14:paraId="5592C45A" w14:textId="43163BEE" w:rsidR="00265979" w:rsidRPr="009A4B5E" w:rsidRDefault="009432CF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Kako bi se ispravno predvidio rast prihoda iz godine u godinu, potrebno je odrediti dinamiku rasta te opravdati navedenu procjenu. Dinamika rasta može biti izražena u postotku (%).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navesti da li se prihodi ostvaruju tokom cijele godine/sezonski/izvan sezone. Ukoliko postoje, potrebno je objasniti sve ostale specifičnosti (npr. ukoliko se prihod u prvoj godini prikazao manjim zbog investicijskih radova u toj godini i sl.)</w:t>
      </w:r>
      <w:r w:rsidR="009239DD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1329DC32" w14:textId="72709883" w:rsidR="00265979" w:rsidRDefault="00B10AF7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Kako bi procjena prihoda bila što preciznija, p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otrebno je zasebno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vrednovati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visinu prihoda u prvoj godi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ni poslovanja, detaljnim definiranjem prosječnih cijena i količina ili sličnih parametara, sve ovisno o vrsti koncesijske djelatnosti.</w:t>
      </w:r>
    </w:p>
    <w:p w14:paraId="6497D36C" w14:textId="52FEE878" w:rsidR="00EA0369" w:rsidRDefault="00EA0369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Prihodi se navode bez iskazanog poreza na dodanu vrijednost. </w:t>
      </w:r>
    </w:p>
    <w:p w14:paraId="088C6D0D" w14:textId="77777777" w:rsidR="007D3380" w:rsidRPr="009A4B5E" w:rsidRDefault="007D3380" w:rsidP="007D3380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Nakon definiranja prihoda u prvoj godini poslovanja, potrebno je izraditi projekciju prihoda za cjelokupno vrijeme trajanja koncesije.</w:t>
      </w:r>
    </w:p>
    <w:p w14:paraId="039A0A0A" w14:textId="477FD4F5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81A16FC" w14:textId="3EDCA176" w:rsidR="004C032E" w:rsidRDefault="004C032E" w:rsidP="00EB1A9D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11" w:name="_Toc56186197"/>
      <w:r w:rsidRPr="00A30DD2">
        <w:rPr>
          <w:rFonts w:ascii="Cambria" w:hAnsi="Cambria"/>
        </w:rPr>
        <w:t>Procjena rashoda za cjelokupno vrijeme trajanja koncesije</w:t>
      </w:r>
      <w:bookmarkEnd w:id="11"/>
    </w:p>
    <w:p w14:paraId="6EB440D7" w14:textId="77777777" w:rsidR="00095B44" w:rsidRDefault="00095B44" w:rsidP="004E4136">
      <w:pPr>
        <w:spacing w:after="0" w:line="360" w:lineRule="auto"/>
        <w:jc w:val="both"/>
      </w:pPr>
    </w:p>
    <w:p w14:paraId="21E6A994" w14:textId="77777777" w:rsidR="00EA0369" w:rsidRPr="009A4B5E" w:rsidRDefault="00EA0369" w:rsidP="00EA0369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detaljno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procijeniti sve rashode nužne za poslovanje na koncesijskom prostoru. Budući da rashodi čine temelj za detaljniju ekonomsko – financijsku analizu važno je da budu procijenjeni što preciznije.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Rashodi se razvrstavaju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tri kategorije:</w:t>
      </w:r>
    </w:p>
    <w:p w14:paraId="290453F4" w14:textId="77777777" w:rsidR="00EA0369" w:rsidRPr="009A4B5E" w:rsidRDefault="00EA0369" w:rsidP="00EA0369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Materijalni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ostali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troškovi</w:t>
      </w:r>
    </w:p>
    <w:p w14:paraId="26159288" w14:textId="77777777" w:rsidR="00EA0369" w:rsidRPr="009A4B5E" w:rsidRDefault="00EA0369" w:rsidP="00EA0369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Troškovi zaposlenika</w:t>
      </w:r>
    </w:p>
    <w:p w14:paraId="24A32B8C" w14:textId="77777777" w:rsidR="00EA0369" w:rsidRDefault="00EA0369" w:rsidP="00EA0369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Obračun amortizacije</w:t>
      </w:r>
    </w:p>
    <w:p w14:paraId="22CA5FEB" w14:textId="77777777" w:rsidR="00EA0369" w:rsidRPr="00EA1219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 potrebi se uvodi i četvrta kategorija Financijski rashodi.</w:t>
      </w:r>
    </w:p>
    <w:p w14:paraId="48CE8DD7" w14:textId="77777777" w:rsidR="00EA0369" w:rsidRPr="009A4B5E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Ukoliko postoji tekuće i investicijsko održavanje opreme, ono se uključuje u rashode, a ne u investicije.</w:t>
      </w:r>
    </w:p>
    <w:p w14:paraId="7695976F" w14:textId="2EF24401" w:rsidR="004440A7" w:rsidRDefault="00EA0369" w:rsidP="00EA036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Kako bi se ispravno predvidio rast rashoda iz godine u godinu, potrebno je odrediti dinamiku rasta te opravdati navedenu procjenu. Dinamika rasta može biti izražena u postotku (%). Za što točniju procjenu rashoda i njihovih kretanja potrebno je analizirati slične poslovne objekte ili vlastito poslovanje te uzeti u obzir atraktivnost lokacije. Ukoliko postoje, potrebno je objasniti sve ostale specifičnosti (npr. pretpostavka je da će u prvoj godini cjelokupno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poslovanje biti slabije zbog uhodavanja u posao, stoga se predviđaju i niži rashodi u toj godini i sl.).</w:t>
      </w:r>
    </w:p>
    <w:p w14:paraId="034D9E7D" w14:textId="77777777" w:rsidR="00EA0369" w:rsidRPr="0050419D" w:rsidRDefault="00EA0369" w:rsidP="00EA0369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12" w:name="_Toc56179631"/>
      <w:bookmarkStart w:id="13" w:name="_Toc56186198"/>
      <w:r w:rsidRPr="0050419D">
        <w:rPr>
          <w:rFonts w:ascii="Cambria" w:hAnsi="Cambria"/>
        </w:rPr>
        <w:t>Materijalni i ostali troškovi</w:t>
      </w:r>
      <w:bookmarkEnd w:id="12"/>
      <w:bookmarkEnd w:id="13"/>
    </w:p>
    <w:p w14:paraId="6257E81B" w14:textId="0C4DE8E7" w:rsidR="009239DD" w:rsidRPr="009A4B5E" w:rsidRDefault="009239DD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početnom dijelu </w:t>
      </w:r>
      <w:proofErr w:type="spellStart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potpoglavlja</w:t>
      </w:r>
      <w:proofErr w:type="spellEnd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definirati ponuđenu koncesijsku naknadu, odnosno stalni dio koncesijske naknade i promjenjivi dio koncesijske naknade na sljedeći način:</w:t>
      </w:r>
    </w:p>
    <w:p w14:paraId="7CFC7AD3" w14:textId="1784509A" w:rsidR="009239DD" w:rsidRPr="00DC22F0" w:rsidRDefault="00DC22F0" w:rsidP="00DC22F0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00D8" wp14:editId="7DB8DA77">
                <wp:simplePos x="0" y="0"/>
                <wp:positionH relativeFrom="column">
                  <wp:posOffset>3222625</wp:posOffset>
                </wp:positionH>
                <wp:positionV relativeFrom="paragraph">
                  <wp:posOffset>194310</wp:posOffset>
                </wp:positionV>
                <wp:extent cx="891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273F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15.3pt" to="32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D5281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Ponuđeni stalni dio koncesijske naknade:</w:t>
      </w:r>
      <w:r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                            </w:t>
      </w:r>
    </w:p>
    <w:p w14:paraId="1DD1CA11" w14:textId="06D40B91" w:rsidR="00DC22F0" w:rsidRPr="00DC22F0" w:rsidRDefault="00DC22F0" w:rsidP="00DC22F0">
      <w:pPr>
        <w:pStyle w:val="ListParagraph"/>
        <w:spacing w:before="100" w:beforeAutospacing="1" w:after="100" w:afterAutospacing="1" w:line="360" w:lineRule="auto"/>
        <w:ind w:left="4956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40FAC4F6" w14:textId="29B2D858" w:rsidR="00DC22F0" w:rsidRDefault="00DC22F0" w:rsidP="00DB5806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6916" wp14:editId="1A62D13D">
                <wp:simplePos x="0" y="0"/>
                <wp:positionH relativeFrom="column">
                  <wp:posOffset>3588385</wp:posOffset>
                </wp:positionH>
                <wp:positionV relativeFrom="paragraph">
                  <wp:posOffset>167640</wp:posOffset>
                </wp:positionV>
                <wp:extent cx="441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B8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3.2pt" to="3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D5281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Ponuđeni promjenjivi dio koncesijske naknade:</w:t>
      </w:r>
      <w:r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              </w:t>
      </w:r>
    </w:p>
    <w:p w14:paraId="4D226256" w14:textId="7A190D5C" w:rsidR="00DC22F0" w:rsidRPr="00DC22F0" w:rsidRDefault="00DC22F0" w:rsidP="00DC22F0">
      <w:pPr>
        <w:pStyle w:val="ListParagraph"/>
        <w:spacing w:before="100" w:beforeAutospacing="1" w:after="100" w:afterAutospacing="1" w:line="360" w:lineRule="auto"/>
        <w:ind w:left="4956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%</w:t>
      </w:r>
      <w:r>
        <w:rPr>
          <w:rStyle w:val="FootnoteReference"/>
          <w:rFonts w:ascii="Cambria" w:eastAsia="Times New Roman" w:hAnsi="Cambria" w:cs="Times New Roman"/>
          <w:i/>
          <w:iCs/>
          <w:sz w:val="24"/>
          <w:szCs w:val="24"/>
          <w:lang w:eastAsia="hr-HR"/>
        </w:rPr>
        <w:footnoteReference w:id="2"/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</w:t>
      </w:r>
    </w:p>
    <w:p w14:paraId="176D24B2" w14:textId="4D65E2A8" w:rsidR="00E72CF7" w:rsidRPr="009A4B5E" w:rsidRDefault="00E72CF7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Nadalje, potrebno je navesti koliki bi bio trošak stalnog dijela koncesijske naknade u ukupnom trajanju koncesije u kunama. Navedeni iznos dobiva se zbrajanjem stalne koncesijske naknade tokom svih godina trajanja koncesije. Također je potrebno navesti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koliki bi bio trošak promjenjivog dijela koncesijske naknade u ukupnom trajanju koncesije u kunama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Iznos se dobiva zbrajanjem svih procijenjenih iznosa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promjenjivih</w:t>
      </w:r>
      <w:r w:rsidR="00DC22F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koncesijskih naknada tokom svih godina trajanja koncesije u kunama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7DB63A8C" w14:textId="1F05E9B8" w:rsidR="00E72CF7" w:rsidRDefault="00B16E65" w:rsidP="00DC22F0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DE321" wp14:editId="48D09B3F">
                <wp:simplePos x="0" y="0"/>
                <wp:positionH relativeFrom="column">
                  <wp:posOffset>655320</wp:posOffset>
                </wp:positionH>
                <wp:positionV relativeFrom="paragraph">
                  <wp:posOffset>473075</wp:posOffset>
                </wp:positionV>
                <wp:extent cx="891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E50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37.25pt" to="121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72CF7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U ukupnom trajanju koncesije trošak stalnog dijela konce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sijske naknade</w:t>
      </w:r>
      <w:r w:rsidR="00E72CF7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iznosio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bi:</w:t>
      </w:r>
      <w:r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</w:p>
    <w:p w14:paraId="40E40312" w14:textId="25DF442B" w:rsidR="00B16E65" w:rsidRPr="00B16E65" w:rsidRDefault="00B16E65" w:rsidP="00B16E65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   </w:t>
      </w: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1C777529" w14:textId="77777777" w:rsidR="00B16E65" w:rsidRDefault="00B16E65" w:rsidP="00B16E65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EEEB6" wp14:editId="15D0ECB2">
                <wp:simplePos x="0" y="0"/>
                <wp:positionH relativeFrom="column">
                  <wp:posOffset>1143000</wp:posOffset>
                </wp:positionH>
                <wp:positionV relativeFrom="paragraph">
                  <wp:posOffset>466725</wp:posOffset>
                </wp:positionV>
                <wp:extent cx="8915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D3A3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6.75pt" to="160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U ukupnom trajanju koncesije trošak 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promjenjivog</w: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dijela konce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sijske naknade</w: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iznosio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bi:</w:t>
      </w:r>
    </w:p>
    <w:p w14:paraId="7B332620" w14:textId="00BC3B36" w:rsidR="005608F1" w:rsidRPr="005608F1" w:rsidRDefault="00B16E65" w:rsidP="005608F1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  </w:t>
      </w:r>
      <w:r w:rsidRPr="00B16E6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67DD7862" w14:textId="77777777" w:rsidR="00EA0369" w:rsidRPr="0050419D" w:rsidRDefault="00EA0369" w:rsidP="00EA0369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50419D">
        <w:rPr>
          <w:rFonts w:ascii="Cambria" w:hAnsi="Cambria" w:cs="Times New Roman"/>
          <w:i/>
          <w:sz w:val="24"/>
          <w:szCs w:val="24"/>
        </w:rPr>
        <w:t>Potrebno je što preciznije navesti i opisati materijalne i ostale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  <w:r w:rsidRPr="0050419D">
        <w:rPr>
          <w:rFonts w:ascii="Cambria" w:hAnsi="Cambria" w:cs="Times New Roman"/>
          <w:i/>
          <w:sz w:val="24"/>
          <w:szCs w:val="24"/>
        </w:rPr>
        <w:t>troškove tj. troškove redovitog poslovanja (primjerice: nabava trgovačke robe, troškovi računovodstva, režijski troškovi, tekuće održavanje opreme, investicijsko održavanje opreme, komunalne usluge, telekomunikacijske usluge, gorivo, osiguranje i sl.) U sljedećoj tablici potrebno je procijeniti sve materijaln</w:t>
      </w:r>
      <w:r>
        <w:rPr>
          <w:rFonts w:ascii="Cambria" w:hAnsi="Cambria" w:cs="Times New Roman"/>
          <w:i/>
          <w:sz w:val="24"/>
          <w:szCs w:val="24"/>
        </w:rPr>
        <w:t>e i ostale</w:t>
      </w:r>
      <w:r w:rsidRPr="0050419D">
        <w:rPr>
          <w:rFonts w:ascii="Cambria" w:hAnsi="Cambria" w:cs="Times New Roman"/>
          <w:i/>
          <w:sz w:val="24"/>
          <w:szCs w:val="24"/>
        </w:rPr>
        <w:t xml:space="preserve"> troškove za cjelokupno vrijeme trajanja koncesije.</w:t>
      </w:r>
    </w:p>
    <w:p w14:paraId="1FB0617B" w14:textId="4325E665" w:rsidR="000D6602" w:rsidRPr="00A30DD2" w:rsidRDefault="004C032E" w:rsidP="009D5281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14" w:name="_Toc56186199"/>
      <w:r w:rsidRPr="00A30DD2">
        <w:rPr>
          <w:rFonts w:ascii="Cambria" w:hAnsi="Cambria"/>
        </w:rPr>
        <w:lastRenderedPageBreak/>
        <w:t xml:space="preserve">Troškovi </w:t>
      </w:r>
      <w:r w:rsidR="009B47B2" w:rsidRPr="00A30DD2">
        <w:rPr>
          <w:rFonts w:ascii="Cambria" w:hAnsi="Cambria"/>
        </w:rPr>
        <w:t>zaposlenika</w:t>
      </w:r>
      <w:r w:rsidRPr="00A30DD2">
        <w:rPr>
          <w:rFonts w:ascii="Cambria" w:hAnsi="Cambria"/>
        </w:rPr>
        <w:t xml:space="preserve"> te struktura i broj zaposlenih</w:t>
      </w:r>
      <w:bookmarkEnd w:id="14"/>
    </w:p>
    <w:p w14:paraId="757C90EC" w14:textId="4C86D155" w:rsidR="00D80B05" w:rsidRPr="009A4B5E" w:rsidRDefault="00053F87" w:rsidP="00D80B05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Specificirati</w:t>
      </w:r>
      <w:r w:rsidR="006D0D1A" w:rsidRPr="009A4B5E">
        <w:rPr>
          <w:rFonts w:ascii="Cambria" w:hAnsi="Cambria" w:cs="Times New Roman"/>
          <w:i/>
          <w:sz w:val="24"/>
          <w:szCs w:val="24"/>
        </w:rPr>
        <w:t xml:space="preserve"> koliko</w:t>
      </w:r>
      <w:r w:rsidR="00E7793E" w:rsidRPr="009A4B5E">
        <w:rPr>
          <w:rFonts w:ascii="Cambria" w:hAnsi="Cambria" w:cs="Times New Roman"/>
          <w:i/>
          <w:sz w:val="24"/>
          <w:szCs w:val="24"/>
        </w:rPr>
        <w:t xml:space="preserve"> djelatnika će </w:t>
      </w:r>
      <w:r w:rsidR="000929D1">
        <w:rPr>
          <w:rFonts w:ascii="Cambria" w:hAnsi="Cambria" w:cs="Times New Roman"/>
          <w:i/>
          <w:sz w:val="24"/>
          <w:szCs w:val="24"/>
        </w:rPr>
        <w:t>gospodarski subjekt</w:t>
      </w:r>
      <w:r w:rsidR="00E7793E" w:rsidRPr="009A4B5E">
        <w:rPr>
          <w:rFonts w:ascii="Cambria" w:hAnsi="Cambria" w:cs="Times New Roman"/>
          <w:i/>
          <w:sz w:val="24"/>
          <w:szCs w:val="24"/>
        </w:rPr>
        <w:t xml:space="preserve"> zaposliti</w:t>
      </w:r>
      <w:r>
        <w:rPr>
          <w:rFonts w:ascii="Cambria" w:hAnsi="Cambria" w:cs="Times New Roman"/>
          <w:i/>
          <w:sz w:val="24"/>
          <w:szCs w:val="24"/>
        </w:rPr>
        <w:t xml:space="preserve"> te od</w:t>
      </w:r>
      <w:r w:rsidR="006D0D1A" w:rsidRPr="009A4B5E">
        <w:rPr>
          <w:rFonts w:ascii="Cambria" w:hAnsi="Cambria" w:cs="Times New Roman"/>
          <w:i/>
          <w:sz w:val="24"/>
          <w:szCs w:val="24"/>
        </w:rPr>
        <w:t xml:space="preserve"> navedenog broja zaposlenih</w:t>
      </w:r>
      <w:r>
        <w:rPr>
          <w:rFonts w:ascii="Cambria" w:hAnsi="Cambria" w:cs="Times New Roman"/>
          <w:i/>
          <w:sz w:val="24"/>
          <w:szCs w:val="24"/>
        </w:rPr>
        <w:t xml:space="preserve"> </w:t>
      </w:r>
      <w:r w:rsidR="006D0D1A" w:rsidRPr="009A4B5E">
        <w:rPr>
          <w:rFonts w:ascii="Cambria" w:hAnsi="Cambria" w:cs="Times New Roman"/>
          <w:i/>
          <w:sz w:val="24"/>
          <w:szCs w:val="24"/>
        </w:rPr>
        <w:t xml:space="preserve">definirati koliko će biti stalnozaposlenih, a koliko sezonskih radnika. Za sezonske radnike </w:t>
      </w:r>
      <w:r w:rsidR="00D80B05" w:rsidRPr="009A4B5E">
        <w:rPr>
          <w:rFonts w:ascii="Cambria" w:hAnsi="Cambria" w:cs="Times New Roman"/>
          <w:i/>
          <w:sz w:val="24"/>
          <w:szCs w:val="24"/>
        </w:rPr>
        <w:t xml:space="preserve">definira se broj mjeseci tokom kojih će raditi, dok se za sve radnike </w:t>
      </w:r>
      <w:r w:rsidR="006D0D1A" w:rsidRPr="009A4B5E">
        <w:rPr>
          <w:rFonts w:ascii="Cambria" w:hAnsi="Cambria" w:cs="Times New Roman"/>
          <w:i/>
          <w:sz w:val="24"/>
          <w:szCs w:val="24"/>
        </w:rPr>
        <w:t>defini</w:t>
      </w:r>
      <w:r w:rsidR="00D80B05" w:rsidRPr="009A4B5E">
        <w:rPr>
          <w:rFonts w:ascii="Cambria" w:hAnsi="Cambria" w:cs="Times New Roman"/>
          <w:i/>
          <w:sz w:val="24"/>
          <w:szCs w:val="24"/>
        </w:rPr>
        <w:t>ra pojedinačna bruto</w:t>
      </w:r>
      <w:r w:rsidR="00EA0369">
        <w:rPr>
          <w:rFonts w:ascii="Cambria" w:hAnsi="Cambria" w:cs="Times New Roman"/>
          <w:i/>
          <w:sz w:val="24"/>
          <w:szCs w:val="24"/>
        </w:rPr>
        <w:t xml:space="preserve"> II </w:t>
      </w:r>
      <w:r w:rsidR="00D80B05" w:rsidRPr="009A4B5E">
        <w:rPr>
          <w:rFonts w:ascii="Cambria" w:hAnsi="Cambria" w:cs="Times New Roman"/>
          <w:i/>
          <w:sz w:val="24"/>
          <w:szCs w:val="24"/>
        </w:rPr>
        <w:t>plaća.</w:t>
      </w:r>
    </w:p>
    <w:p w14:paraId="30AE8EB5" w14:textId="77777777" w:rsidR="006D0D1A" w:rsidRPr="00A30DD2" w:rsidRDefault="006D0D1A" w:rsidP="006D0D1A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6EB014FA" w14:textId="77777777" w:rsidR="001D3841" w:rsidRPr="00A30DD2" w:rsidRDefault="001D3841" w:rsidP="001D3841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15" w:name="_Toc56186200"/>
      <w:r w:rsidRPr="00A30DD2">
        <w:rPr>
          <w:rFonts w:ascii="Cambria" w:hAnsi="Cambria"/>
        </w:rPr>
        <w:t>Obračun amortizacije</w:t>
      </w:r>
      <w:bookmarkEnd w:id="15"/>
    </w:p>
    <w:p w14:paraId="76589167" w14:textId="6D404AFF" w:rsidR="004440A7" w:rsidRDefault="001D3841" w:rsidP="00864354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Amortizacija dugotrajne materijalne i nematerijalne imovine priznaje se kao rashod u svoti obračunanoj na trošak nabave po linearnoj metodi primjenom godišnjih amortizacijskih stopa te se amortizacija obračunava pojedinačno.</w:t>
      </w:r>
      <w:r w:rsidRPr="009A4B5E">
        <w:rPr>
          <w:rStyle w:val="FootnoteReference"/>
          <w:rFonts w:ascii="Cambria" w:hAnsi="Cambria" w:cs="Times New Roman"/>
          <w:i/>
          <w:sz w:val="24"/>
          <w:szCs w:val="24"/>
        </w:rPr>
        <w:footnoteReference w:id="3"/>
      </w:r>
      <w:r w:rsidRPr="009A4B5E">
        <w:rPr>
          <w:rFonts w:ascii="Cambria" w:hAnsi="Cambria" w:cs="Times New Roman"/>
          <w:i/>
          <w:sz w:val="24"/>
          <w:szCs w:val="24"/>
        </w:rPr>
        <w:t xml:space="preserve"> Potrebno je napraviti obračun amortizacije za svu prethodno navedenu dugotrajnu imovinu u koju se planira investirati. Prilikom obračuna amortizacije potrebno je koristiti odgovarajuće godišnje amortizacijske stope za pojedine skupine dugotrajne imovine.</w:t>
      </w:r>
      <w:r w:rsidR="00053F87">
        <w:rPr>
          <w:rFonts w:ascii="Cambria" w:hAnsi="Cambria" w:cs="Times New Roman"/>
          <w:i/>
          <w:sz w:val="24"/>
          <w:szCs w:val="24"/>
        </w:rPr>
        <w:t xml:space="preserve"> Specificirati ostatak vrijednosti pojedine stavke dugotrajne imovine oduzimanjem nabavne vrijednosti od zbroja amortizacijskih svota u svim godinama trajanja koncesije.</w:t>
      </w:r>
    </w:p>
    <w:p w14:paraId="568A13AB" w14:textId="77777777" w:rsidR="004440A7" w:rsidRDefault="004440A7" w:rsidP="00864354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42AA07FA" w14:textId="77777777" w:rsidR="004440A7" w:rsidRPr="008139C4" w:rsidRDefault="004440A7" w:rsidP="004440A7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16" w:name="_Toc56179634"/>
      <w:bookmarkStart w:id="17" w:name="_Toc56186201"/>
      <w:bookmarkStart w:id="18" w:name="_Hlk56183196"/>
      <w:r w:rsidRPr="008139C4">
        <w:rPr>
          <w:rFonts w:ascii="Cambria" w:hAnsi="Cambria"/>
        </w:rPr>
        <w:t>Financijski rashodi</w:t>
      </w:r>
      <w:bookmarkEnd w:id="16"/>
      <w:bookmarkEnd w:id="17"/>
    </w:p>
    <w:p w14:paraId="2527B58A" w14:textId="77777777" w:rsidR="00507933" w:rsidRPr="00507933" w:rsidRDefault="00507933" w:rsidP="00507933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19" w:name="_Toc56186202"/>
      <w:bookmarkEnd w:id="18"/>
      <w:r w:rsidRPr="0050793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Ukoliko poduzetnik koristi vanjske izvore financiranja, kao što su bankovni krediti, potrebno je izraditi okvirni plan otplate kredita za potrebe daljnjih procjena i analiza. Za potrebe Studije gospodarske opravdanosti potrebno je navesti osnovne uvjete kreditiranja kao što su ukupni iznos kredita (glavnice), razdoblje povrata kredita, datum početka, kamatnu stopu, naknadu za obradu kredita i troškove obrade kredita. Troškovi obrade kredita predstavljaju umnožak ukupnog iznosa kredita i naknade za obradu kredita.</w:t>
      </w:r>
    </w:p>
    <w:p w14:paraId="7F6C2574" w14:textId="77777777" w:rsidR="00507933" w:rsidRPr="00507933" w:rsidRDefault="00507933" w:rsidP="00507933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0793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Okvirni plan otplate kredita prikazuje informacije o broju rata, stanju duga, anuitetu, obračunatoj kamati te preostalom iznosu glavnice za otplatu. Anuitet predstavlja određeni novčani iznos koji se redovno, u jednakim vremenskim razmacima uplaćuje radi podmirenja duga, a sastoji se od kamate i povrata glavnice. Omjer kamate i iznosa glavnice </w:t>
      </w:r>
      <w:r w:rsidRPr="0050793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u anuitetu mijenja se na način da se s povećanjem otplaćenih anuiteta udio kamate smanjuje, a glavnice povećava. Stanje duga po isteku otplate kredita treba biti nula.</w:t>
      </w:r>
    </w:p>
    <w:p w14:paraId="72E5C76D" w14:textId="384D81E2" w:rsidR="00507933" w:rsidRDefault="00507933" w:rsidP="00507933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0793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 potrebi, detaljnije opišite planirani kreditni angažman. </w:t>
      </w:r>
    </w:p>
    <w:p w14:paraId="107C9F36" w14:textId="77777777" w:rsidR="00507933" w:rsidRPr="00507933" w:rsidRDefault="00507933" w:rsidP="00507933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4ADD59BE" w14:textId="77777777" w:rsidR="00C065A4" w:rsidRDefault="00C065A4" w:rsidP="004440A7">
      <w:pPr>
        <w:pStyle w:val="Heading2"/>
        <w:numPr>
          <w:ilvl w:val="1"/>
          <w:numId w:val="4"/>
        </w:numPr>
        <w:rPr>
          <w:rFonts w:ascii="Cambria" w:hAnsi="Cambria"/>
        </w:rPr>
      </w:pPr>
      <w:r w:rsidRPr="00A30DD2">
        <w:rPr>
          <w:rFonts w:ascii="Cambria" w:hAnsi="Cambria"/>
        </w:rPr>
        <w:t>Račun dobiti i gubitka projekta</w:t>
      </w:r>
      <w:bookmarkEnd w:id="19"/>
    </w:p>
    <w:p w14:paraId="3D383DD6" w14:textId="702D8D5D" w:rsidR="00970ED6" w:rsidRDefault="00C065A4" w:rsidP="00C065A4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Račun dobiti i gubitka je izvještaj koji prikazuje poslovanje tokom cjelokupnog koncesijskog razdoblja. Izvještaj obuhvaća poslovne prihode, poslovne rashode, obveze po osnovi poreza na dobit te ostvarenu dobit prije i nakon oporezivanja.</w:t>
      </w:r>
      <w:r w:rsidR="00970ED6">
        <w:rPr>
          <w:rFonts w:ascii="Cambria" w:hAnsi="Cambria" w:cs="Times New Roman"/>
          <w:i/>
          <w:sz w:val="24"/>
          <w:szCs w:val="24"/>
        </w:rPr>
        <w:t xml:space="preserve"> Porezne stope utvrđene su zakonskom regulativom te su obveznici poreza na dobit trgovačka društva, dok su obrti obveznici poreza na dohodak.</w:t>
      </w:r>
      <w:r w:rsidRPr="009A4B5E">
        <w:rPr>
          <w:rFonts w:ascii="Cambria" w:hAnsi="Cambria" w:cs="Times New Roman"/>
          <w:i/>
          <w:sz w:val="24"/>
          <w:szCs w:val="24"/>
        </w:rPr>
        <w:t xml:space="preserve"> Račun dobiti i gubitka daje informacije o ostvarenju financijskog cilja </w:t>
      </w:r>
      <w:r w:rsidR="000929D1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tj. o ostvarenju profitabilnosti.</w:t>
      </w:r>
    </w:p>
    <w:p w14:paraId="4D8E37E5" w14:textId="77777777" w:rsidR="004440A7" w:rsidRPr="009A4B5E" w:rsidRDefault="004440A7" w:rsidP="00C065A4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27B1ED03" w14:textId="15CB9229" w:rsidR="00EB1A9D" w:rsidRPr="00A30DD2" w:rsidRDefault="00F25F7A" w:rsidP="004440A7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0" w:name="_Toc56186203"/>
      <w:r w:rsidRPr="00A30DD2">
        <w:rPr>
          <w:rFonts w:ascii="Cambria" w:hAnsi="Cambria"/>
        </w:rPr>
        <w:t>Fi</w:t>
      </w:r>
      <w:r w:rsidR="004C032E" w:rsidRPr="00A30DD2">
        <w:rPr>
          <w:rFonts w:ascii="Cambria" w:hAnsi="Cambria"/>
        </w:rPr>
        <w:t>nancijsk</w:t>
      </w:r>
      <w:r w:rsidRPr="00A30DD2">
        <w:rPr>
          <w:rFonts w:ascii="Cambria" w:hAnsi="Cambria"/>
        </w:rPr>
        <w:t>i</w:t>
      </w:r>
      <w:r w:rsidR="004C032E" w:rsidRPr="00A30DD2">
        <w:rPr>
          <w:rFonts w:ascii="Cambria" w:hAnsi="Cambria"/>
        </w:rPr>
        <w:t xml:space="preserve"> tok</w:t>
      </w:r>
      <w:r w:rsidRPr="00A30DD2">
        <w:rPr>
          <w:rFonts w:ascii="Cambria" w:hAnsi="Cambria"/>
        </w:rPr>
        <w:t xml:space="preserve"> projekta</w:t>
      </w:r>
      <w:bookmarkEnd w:id="20"/>
    </w:p>
    <w:p w14:paraId="4EBFC833" w14:textId="18DDDCAE" w:rsidR="00D84303" w:rsidRPr="009A4B5E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Financijski tok promatra kretanje novčanih sredstava u </w:t>
      </w:r>
      <w:r w:rsidR="000929D1">
        <w:rPr>
          <w:rFonts w:ascii="Cambria" w:hAnsi="Cambria" w:cs="Times New Roman"/>
          <w:i/>
          <w:sz w:val="24"/>
          <w:szCs w:val="24"/>
        </w:rPr>
        <w:t>gospodarskom subjektu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te analizira likvidnost projekta, odnosno mogućnost urednog podmirenja obveza prema dobavljačima, djelatnicima, državi i svim ostalim uključenim stranama.</w:t>
      </w:r>
    </w:p>
    <w:p w14:paraId="2E70198E" w14:textId="71806690" w:rsidR="00D84303" w:rsidRPr="009A4B5E" w:rsidRDefault="00D84303" w:rsidP="00D84303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Primici financijskog toka povećavaju financijski potencijal </w:t>
      </w:r>
      <w:r w:rsidR="000929D1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te obuhvaćaju sljedeće kategorije:</w:t>
      </w:r>
    </w:p>
    <w:p w14:paraId="1D912BF0" w14:textId="77777777" w:rsidR="00D84303" w:rsidRPr="009A4B5E" w:rsidRDefault="00D84303" w:rsidP="00D843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Ukupni prihodi poslovnih aktivnosti</w:t>
      </w:r>
    </w:p>
    <w:p w14:paraId="654F5760" w14:textId="77777777" w:rsidR="00D84303" w:rsidRPr="009A4B5E" w:rsidRDefault="00D84303" w:rsidP="00D8430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Izvori financiranja</w:t>
      </w:r>
    </w:p>
    <w:p w14:paraId="2FD7D8C4" w14:textId="77777777" w:rsidR="00D84303" w:rsidRPr="009A4B5E" w:rsidRDefault="00D84303" w:rsidP="00D84303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Ostatak vrijednosti projekta</w:t>
      </w:r>
    </w:p>
    <w:p w14:paraId="06A39758" w14:textId="77777777" w:rsidR="00D84303" w:rsidRPr="009A4B5E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Procijenjeni poslovni prihodi zbrajaju se s izvorima financiranja investicije, bilo da se radi o vlastitim sredstvima ili kreditu. Nadalje, pribraja im se i ostatak vrijednosti projekta koji se definira kao tržišna vrijednost imovine na kraju promatranog razdoblja.</w:t>
      </w:r>
    </w:p>
    <w:p w14:paraId="4CF1D107" w14:textId="58F0636E" w:rsidR="00D84303" w:rsidRPr="009A4B5E" w:rsidRDefault="00D84303" w:rsidP="00D84303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Izdaci financijskog toka su svi odljevi financijskih sredstava iz projekta te oni umanjuju financijski potencijal </w:t>
      </w:r>
      <w:r w:rsidR="000929D1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>. Izdaci obuhvaćaju sljedeće kategorije:</w:t>
      </w:r>
    </w:p>
    <w:p w14:paraId="73ECCD03" w14:textId="77777777" w:rsidR="00D84303" w:rsidRPr="009A4B5E" w:rsidRDefault="00D84303" w:rsidP="00D8430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Ulaganja (investicije) – u godini investiranja</w:t>
      </w:r>
    </w:p>
    <w:p w14:paraId="5E81D344" w14:textId="77777777" w:rsidR="00D84303" w:rsidRPr="009A4B5E" w:rsidRDefault="00D84303" w:rsidP="00D8430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lastRenderedPageBreak/>
        <w:t>Troškovi poslovanja</w:t>
      </w:r>
    </w:p>
    <w:p w14:paraId="3592B630" w14:textId="77777777" w:rsidR="00D84303" w:rsidRPr="009A4B5E" w:rsidRDefault="00D84303" w:rsidP="00D8430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Porez na dobit</w:t>
      </w:r>
    </w:p>
    <w:p w14:paraId="58642B26" w14:textId="77777777" w:rsidR="00D84303" w:rsidRPr="009A4B5E" w:rsidRDefault="00D84303" w:rsidP="00D84303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Obveze po kreditima</w:t>
      </w:r>
    </w:p>
    <w:p w14:paraId="15D8373C" w14:textId="7A29676F" w:rsidR="00D84303" w:rsidRPr="009A4B5E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Ulaganja u osnovna sredstva trenutno umanjuju ekonomski i financijski potencijal, no od njih se očekuju koristi u budućnosti u obliku povećanih prihoda. Za potrebe izračuna financijskog toka obuhvaćaju se troškovi poslovanja</w:t>
      </w:r>
      <w:r>
        <w:rPr>
          <w:rFonts w:ascii="Cambria" w:hAnsi="Cambria" w:cs="Times New Roman"/>
          <w:i/>
          <w:sz w:val="24"/>
          <w:szCs w:val="24"/>
        </w:rPr>
        <w:t>,</w:t>
      </w:r>
      <w:r w:rsidRPr="009A4B5E">
        <w:rPr>
          <w:rFonts w:ascii="Cambria" w:hAnsi="Cambria" w:cs="Times New Roman"/>
          <w:i/>
          <w:sz w:val="24"/>
          <w:szCs w:val="24"/>
        </w:rPr>
        <w:t xml:space="preserve"> ali isključivo stavke materijalnih</w:t>
      </w:r>
      <w:r>
        <w:rPr>
          <w:rFonts w:ascii="Cambria" w:hAnsi="Cambria" w:cs="Times New Roman"/>
          <w:i/>
          <w:sz w:val="24"/>
          <w:szCs w:val="24"/>
        </w:rPr>
        <w:t xml:space="preserve"> i ostalih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troškova i troškova zaposlenika, bez amortizacije. Amortizacija ne predstavlja stvarni odljev novčanih sredstava već samo računovodstveni, stoga se ne uključuje u izračun financijskog toka. Porez na dobit po stopi koju </w:t>
      </w:r>
      <w:r w:rsidR="000929D1">
        <w:rPr>
          <w:rFonts w:ascii="Cambria" w:hAnsi="Cambria" w:cs="Times New Roman"/>
          <w:i/>
          <w:sz w:val="24"/>
          <w:szCs w:val="24"/>
        </w:rPr>
        <w:t>gospodarski subjekt</w:t>
      </w:r>
      <w:r w:rsidRPr="009A4B5E">
        <w:rPr>
          <w:rFonts w:ascii="Cambria" w:hAnsi="Cambria" w:cs="Times New Roman"/>
          <w:i/>
          <w:sz w:val="24"/>
          <w:szCs w:val="24"/>
        </w:rPr>
        <w:t xml:space="preserve"> plaća sastavni je dio izdataka financijskog toka kao i obveze po kreditima, točnije zbroj otplate glavnice i kamate.</w:t>
      </w:r>
    </w:p>
    <w:p w14:paraId="7B88EF52" w14:textId="504A0F12" w:rsidR="00504C05" w:rsidRDefault="00D84303" w:rsidP="004440A7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Neto primici računaju se kao razlika između primitaka i izdataka. Negativna vrijednost neto primitaka ukazuje na nemogućnost generiranja dovoljno sredstava za uredno podmirenje obveza.</w:t>
      </w:r>
    </w:p>
    <w:p w14:paraId="4430FE2E" w14:textId="77777777" w:rsidR="004440A7" w:rsidRDefault="004440A7" w:rsidP="004440A7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4C1C1BDE" w14:textId="2436523E" w:rsidR="00F25F7A" w:rsidRPr="00A30DD2" w:rsidRDefault="00F25F7A" w:rsidP="004440A7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1" w:name="_Toc56186204"/>
      <w:r w:rsidRPr="00A30DD2">
        <w:rPr>
          <w:rFonts w:ascii="Cambria" w:hAnsi="Cambria"/>
        </w:rPr>
        <w:t>Ekonomski tok projekta</w:t>
      </w:r>
      <w:bookmarkEnd w:id="21"/>
    </w:p>
    <w:p w14:paraId="6B026BB5" w14:textId="17BA8C9C" w:rsidR="00D84303" w:rsidRPr="009A4B5E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Ekonomski tok projekta pruža informacije o poslovanju </w:t>
      </w:r>
      <w:r w:rsidR="000929D1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 xml:space="preserve"> i daje uvid u ekonomski potencijal projekta. Njime se obuhvaćaju svi procijenjeni primici i izdaci. Za razliku od financijskog toga, kod računanja ekonomskog toka, u obzir se ne uzimaju obveze po kreditima te izvori financiranja investicije.</w:t>
      </w:r>
    </w:p>
    <w:p w14:paraId="56EAEBB3" w14:textId="77777777" w:rsidR="00D84303" w:rsidRPr="009A4B5E" w:rsidRDefault="00D84303" w:rsidP="00D84303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Primici ekonomskog toka obuhvaćaju sljedeće kategorije:</w:t>
      </w:r>
    </w:p>
    <w:p w14:paraId="0D611011" w14:textId="77777777" w:rsidR="00D84303" w:rsidRPr="009A4B5E" w:rsidRDefault="00D84303" w:rsidP="00D8430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Ukupni prihodi poslovnih aktivnosti</w:t>
      </w:r>
    </w:p>
    <w:p w14:paraId="5FB20E14" w14:textId="77777777" w:rsidR="00D84303" w:rsidRPr="009A4B5E" w:rsidRDefault="00D84303" w:rsidP="00D84303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Ostatak vrijednosti projekta</w:t>
      </w:r>
    </w:p>
    <w:p w14:paraId="4CD2EE0E" w14:textId="77777777" w:rsidR="00D84303" w:rsidRPr="009A4B5E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 analizu je potrebno uključiti sve prethodno procijenjene prihode od pružanja usluga na koncesijskom prostoru. Prihodima se pribraja i ostatak vrijednosti projekta koji predstavlja tržišnu vrijednost imovine na kraju promatranog razdoblja.</w:t>
      </w:r>
    </w:p>
    <w:p w14:paraId="5303724A" w14:textId="77777777" w:rsidR="00D84303" w:rsidRPr="009A4B5E" w:rsidRDefault="00D84303" w:rsidP="00D84303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  <w:highlight w:val="yellow"/>
        </w:rPr>
      </w:pPr>
      <w:r w:rsidRPr="009A4B5E">
        <w:rPr>
          <w:rFonts w:ascii="Cambria" w:hAnsi="Cambria" w:cs="Times New Roman"/>
          <w:i/>
          <w:sz w:val="24"/>
          <w:szCs w:val="24"/>
        </w:rPr>
        <w:t>Izdaci ekonomskog toka obuhvaćaju sljedeće kategorije:</w:t>
      </w:r>
    </w:p>
    <w:p w14:paraId="46446D9B" w14:textId="77777777" w:rsidR="00D84303" w:rsidRPr="009A4B5E" w:rsidRDefault="00D84303" w:rsidP="00D84303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Ulaganja (investicije) – u godini investiranja</w:t>
      </w:r>
    </w:p>
    <w:p w14:paraId="4A2D9C4A" w14:textId="77777777" w:rsidR="00D84303" w:rsidRPr="009A4B5E" w:rsidRDefault="00D84303" w:rsidP="00D84303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Troškovi poslovanja</w:t>
      </w:r>
    </w:p>
    <w:p w14:paraId="52D19993" w14:textId="77777777" w:rsidR="00D84303" w:rsidRPr="009A4B5E" w:rsidRDefault="00D84303" w:rsidP="00D84303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lastRenderedPageBreak/>
        <w:t>Porez na dobit</w:t>
      </w:r>
    </w:p>
    <w:p w14:paraId="4DFD7C4F" w14:textId="77777777" w:rsidR="00D84303" w:rsidRPr="0050419D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50419D">
        <w:rPr>
          <w:rFonts w:ascii="Cambria" w:hAnsi="Cambria" w:cs="Times New Roman"/>
          <w:i/>
          <w:sz w:val="24"/>
          <w:szCs w:val="24"/>
        </w:rPr>
        <w:t>Ulaganja se uključuju na stranu izdataka u godinama u kojima su predviđena da će nastati. Njima se pribrajaju troškovi poslovanja (materijalni i ostali troškovi i troškovi zaposlenika), no bez amortizacije. Amortizacija ne predstavlja stvarni odljev novčanih sredstava već samo računovodstveni, stoga se ne uključuje u izračun ekonomskog toka.</w:t>
      </w:r>
    </w:p>
    <w:p w14:paraId="6C33C63F" w14:textId="062E6240" w:rsidR="004440A7" w:rsidRDefault="00D84303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Neto primici računaju se kao razlika između primitaka i izdataka. Negativna vrijednost neto primitaka u godini investiranja je česta pojava budući da izdaci sadrže vrijednosti investicijskih ulaganja, dok se kod primitaka ne uključuju izvori iz kojih je investicija financirana. Pozitivni neto primici u daljnjim godinama definiraju projekt koji ostvaruje povećanje vrijednosti imovine.</w:t>
      </w:r>
    </w:p>
    <w:p w14:paraId="3C7BEC85" w14:textId="77777777" w:rsidR="004440A7" w:rsidRDefault="004440A7" w:rsidP="00D84303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73D4636B" w14:textId="796BDFF4" w:rsidR="004C032E" w:rsidRPr="00A30DD2" w:rsidRDefault="004C032E" w:rsidP="004440A7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2" w:name="_Toc56186205"/>
      <w:r w:rsidRPr="00A30DD2">
        <w:rPr>
          <w:rFonts w:ascii="Cambria" w:hAnsi="Cambria"/>
        </w:rPr>
        <w:t>Metoda razdoblja povrata investicije</w:t>
      </w:r>
      <w:bookmarkEnd w:id="22"/>
    </w:p>
    <w:p w14:paraId="1E87B748" w14:textId="345CC85C" w:rsidR="00EE6011" w:rsidRPr="009A4B5E" w:rsidRDefault="00FE01D6" w:rsidP="00EE6011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Metodom razdoblja povrata investicije utvrđuje se vrijeme potrebno za povrat uloženih sredstava u projekt, odnosno utvrđuje se da li je povrat uloženih sredstava ostvariv u razdoblju tokom kojeg traje koncesija.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Potrebno je</w:t>
      </w:r>
      <w:r w:rsidR="00691A06" w:rsidRPr="009A4B5E">
        <w:rPr>
          <w:rFonts w:ascii="Cambria" w:hAnsi="Cambria" w:cs="Times New Roman"/>
          <w:i/>
          <w:sz w:val="24"/>
          <w:szCs w:val="24"/>
        </w:rPr>
        <w:t xml:space="preserve"> za svaku koncesijsku godinu izračunati kumulativ novčanih primitaka ekonomskog toka</w:t>
      </w:r>
      <w:r w:rsidR="008305A9" w:rsidRPr="009A4B5E">
        <w:rPr>
          <w:rFonts w:ascii="Cambria" w:hAnsi="Cambria" w:cs="Times New Roman"/>
          <w:i/>
          <w:sz w:val="24"/>
          <w:szCs w:val="24"/>
        </w:rPr>
        <w:t xml:space="preserve"> te se povrat sredstava ostvaruje </w:t>
      </w:r>
      <w:r w:rsidR="00691A06" w:rsidRPr="009A4B5E">
        <w:rPr>
          <w:rFonts w:ascii="Cambria" w:hAnsi="Cambria" w:cs="Times New Roman"/>
          <w:i/>
          <w:sz w:val="24"/>
          <w:szCs w:val="24"/>
        </w:rPr>
        <w:t>u godini u kojoj je kumulativ pozi</w:t>
      </w:r>
      <w:r w:rsidR="008305A9" w:rsidRPr="009A4B5E">
        <w:rPr>
          <w:rFonts w:ascii="Cambria" w:hAnsi="Cambria" w:cs="Times New Roman"/>
          <w:i/>
          <w:sz w:val="24"/>
          <w:szCs w:val="24"/>
        </w:rPr>
        <w:t xml:space="preserve">tivan. 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Metodom povrata ulaganja analizira se brzina povrata uloženih sredstava </w:t>
      </w:r>
      <w:r w:rsidR="00691A06" w:rsidRPr="009A4B5E">
        <w:rPr>
          <w:rFonts w:ascii="Cambria" w:hAnsi="Cambria" w:cs="Times New Roman"/>
          <w:i/>
          <w:sz w:val="24"/>
          <w:szCs w:val="24"/>
        </w:rPr>
        <w:t>što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je važan faktor pri odluci o ulaganju u investicijski projekt. Ukoliko se uloženi kapital vraća u razdoblju kraćem od trajanja kon</w:t>
      </w:r>
      <w:r w:rsidR="00691A06" w:rsidRPr="009A4B5E">
        <w:rPr>
          <w:rFonts w:ascii="Cambria" w:hAnsi="Cambria" w:cs="Times New Roman"/>
          <w:i/>
          <w:sz w:val="24"/>
          <w:szCs w:val="24"/>
        </w:rPr>
        <w:t xml:space="preserve">cesije, </w:t>
      </w:r>
      <w:r w:rsidR="00EE6011" w:rsidRPr="009A4B5E">
        <w:rPr>
          <w:rFonts w:ascii="Cambria" w:hAnsi="Cambria" w:cs="Times New Roman"/>
          <w:i/>
          <w:sz w:val="24"/>
          <w:szCs w:val="24"/>
        </w:rPr>
        <w:t>smat</w:t>
      </w:r>
      <w:r w:rsidR="00691A06" w:rsidRPr="009A4B5E">
        <w:rPr>
          <w:rFonts w:ascii="Cambria" w:hAnsi="Cambria" w:cs="Times New Roman"/>
          <w:i/>
          <w:sz w:val="24"/>
          <w:szCs w:val="24"/>
        </w:rPr>
        <w:t>ra se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da je projekt prihvatljiv.</w:t>
      </w:r>
    </w:p>
    <w:p w14:paraId="0D61AAF6" w14:textId="76E85503" w:rsidR="00A00BBC" w:rsidRDefault="00A00BBC" w:rsidP="00EB1A9D">
      <w:pPr>
        <w:rPr>
          <w:rFonts w:ascii="Cambria" w:hAnsi="Cambria"/>
        </w:rPr>
      </w:pPr>
    </w:p>
    <w:p w14:paraId="2C539D8A" w14:textId="77777777" w:rsidR="00A00BBC" w:rsidRPr="00A30DD2" w:rsidRDefault="00A00BBC" w:rsidP="004440A7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3" w:name="_Toc56186206"/>
      <w:r w:rsidRPr="00A30DD2">
        <w:rPr>
          <w:rFonts w:ascii="Cambria" w:hAnsi="Cambria"/>
        </w:rPr>
        <w:t>Statička ocjena efikasnosti projekta</w:t>
      </w:r>
      <w:bookmarkEnd w:id="23"/>
    </w:p>
    <w:p w14:paraId="60E72ED4" w14:textId="77777777" w:rsidR="007D3380" w:rsidRDefault="009420D8" w:rsidP="009420D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Statička ekonomska analiza obuhvaća skup pokazatelja za utvrđivanje efikasnosti projekta.</w:t>
      </w:r>
      <w:r w:rsidR="00304C9E" w:rsidRPr="009A4B5E">
        <w:rPr>
          <w:rFonts w:ascii="Cambria" w:hAnsi="Cambria" w:cs="Times New Roman"/>
          <w:i/>
          <w:sz w:val="24"/>
          <w:szCs w:val="24"/>
        </w:rPr>
        <w:t xml:space="preserve"> Odabire se jedna reprezentativna godina koja služi kao temelj za izračun pokazatelja učinkovitosti.</w:t>
      </w:r>
      <w:r w:rsidR="007D3380">
        <w:rPr>
          <w:rFonts w:ascii="Cambria" w:hAnsi="Cambria" w:cs="Times New Roman"/>
          <w:i/>
          <w:sz w:val="24"/>
          <w:szCs w:val="24"/>
        </w:rPr>
        <w:t xml:space="preserve"> Potrebno je izračunati sljedeće pokazatelje:</w:t>
      </w:r>
    </w:p>
    <w:p w14:paraId="0D30FD8F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>Rentabilnost ukupno uloženih sredstava</w:t>
      </w:r>
    </w:p>
    <w:p w14:paraId="477DD6F4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>Rentabilnost vlastitih sredstava</w:t>
      </w:r>
    </w:p>
    <w:p w14:paraId="0542B182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>Rentabilnost prometa</w:t>
      </w:r>
    </w:p>
    <w:p w14:paraId="479B06F7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lastRenderedPageBreak/>
        <w:t>Obrtaj ukupno uloženih sredstava</w:t>
      </w:r>
    </w:p>
    <w:p w14:paraId="4D324CB7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>Rentabilnost s gledišta izvora financiranja</w:t>
      </w:r>
    </w:p>
    <w:p w14:paraId="497DC5C3" w14:textId="77777777" w:rsidR="007D3380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>Neto dobit po zaposlenom</w:t>
      </w:r>
    </w:p>
    <w:p w14:paraId="2C128620" w14:textId="01B01789" w:rsidR="009420D8" w:rsidRDefault="007D3380" w:rsidP="007D3380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D3380">
        <w:rPr>
          <w:rFonts w:ascii="Cambria" w:hAnsi="Cambria" w:cs="Times New Roman"/>
          <w:i/>
          <w:sz w:val="24"/>
          <w:szCs w:val="24"/>
        </w:rPr>
        <w:t xml:space="preserve">Plaća po zaposlenome </w:t>
      </w:r>
      <w:r>
        <w:rPr>
          <w:rFonts w:ascii="Cambria" w:hAnsi="Cambria" w:cs="Times New Roman"/>
          <w:i/>
          <w:sz w:val="24"/>
          <w:szCs w:val="24"/>
        </w:rPr>
        <w:t>–</w:t>
      </w:r>
      <w:r w:rsidRPr="007D3380">
        <w:rPr>
          <w:rFonts w:ascii="Cambria" w:hAnsi="Cambria" w:cs="Times New Roman"/>
          <w:i/>
          <w:sz w:val="24"/>
          <w:szCs w:val="24"/>
        </w:rPr>
        <w:t xml:space="preserve"> mjesečno</w:t>
      </w:r>
    </w:p>
    <w:p w14:paraId="69B356B7" w14:textId="1A19161F" w:rsidR="007D3380" w:rsidRDefault="007D3380" w:rsidP="007D3380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bookmarkStart w:id="24" w:name="_Toc54763899"/>
      <w:r>
        <w:rPr>
          <w:rFonts w:ascii="Cambria" w:hAnsi="Cambria" w:cs="Times New Roman"/>
          <w:i/>
          <w:sz w:val="24"/>
          <w:szCs w:val="24"/>
        </w:rPr>
        <w:t>Z</w:t>
      </w:r>
      <w:r w:rsidRPr="007D3380">
        <w:rPr>
          <w:rFonts w:ascii="Cambria" w:hAnsi="Cambria" w:cs="Times New Roman"/>
          <w:i/>
          <w:sz w:val="24"/>
          <w:szCs w:val="24"/>
        </w:rPr>
        <w:t>a svaki pokazatelj zasebno</w:t>
      </w:r>
      <w:r>
        <w:rPr>
          <w:rFonts w:ascii="Cambria" w:hAnsi="Cambria" w:cs="Times New Roman"/>
          <w:i/>
          <w:sz w:val="24"/>
          <w:szCs w:val="24"/>
        </w:rPr>
        <w:t xml:space="preserve"> potrebno je utvrditi </w:t>
      </w:r>
      <w:r w:rsidRPr="007D3380">
        <w:rPr>
          <w:rFonts w:ascii="Cambria" w:hAnsi="Cambria" w:cs="Times New Roman"/>
          <w:i/>
          <w:sz w:val="24"/>
          <w:szCs w:val="24"/>
        </w:rPr>
        <w:t xml:space="preserve"> da li je projekt prihvatljiv ili nije prihvatljiv</w:t>
      </w:r>
      <w:r>
        <w:rPr>
          <w:rFonts w:ascii="Cambria" w:hAnsi="Cambria" w:cs="Times New Roman"/>
          <w:i/>
          <w:sz w:val="24"/>
          <w:szCs w:val="24"/>
        </w:rPr>
        <w:t xml:space="preserve"> te prokomentirati dobivene rezultate.</w:t>
      </w:r>
    </w:p>
    <w:p w14:paraId="4F725816" w14:textId="77777777" w:rsidR="00507933" w:rsidRPr="007D3380" w:rsidRDefault="00507933" w:rsidP="007D3380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7D02498F" w14:textId="4F752E4F" w:rsidR="00EF4943" w:rsidRPr="00A30DD2" w:rsidRDefault="004C032E" w:rsidP="004440A7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25" w:name="_Toc56186207"/>
      <w:bookmarkEnd w:id="24"/>
      <w:r w:rsidRPr="00A30DD2">
        <w:rPr>
          <w:rFonts w:ascii="Cambria" w:hAnsi="Cambria"/>
        </w:rPr>
        <w:t>Zaključna ocjena</w:t>
      </w:r>
      <w:bookmarkEnd w:id="25"/>
    </w:p>
    <w:p w14:paraId="3D0FFCD2" w14:textId="65F1C28E" w:rsidR="005C018A" w:rsidRDefault="005C018A" w:rsidP="005C018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C018A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definirati i opisati glavne zaključke studije gospodarske opravdanosti. Navesti i opisati da li će se realizacijom koncesije ostvariti temeljni cilj poduzetnika te kako će koncesija utjecati na njegovo poslovanje.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Opisati na koji način će planirane investicije unaprijediti pomorsko dobro na kojemu će se obavljati koncesijska djelatnost te na koji način će poslovanje i ulaganj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utjecati na okolno područje, lokalno stanovništvo i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njihovu gospodarsku aktivnost.</w:t>
      </w:r>
    </w:p>
    <w:p w14:paraId="10B289EF" w14:textId="454AD872" w:rsidR="004C032E" w:rsidRDefault="005C018A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Nadalje, potrebno je dati glavne zaključke ekonomsko – financijske analize: utvrditi da li je rok trajanja koncesije primjereno razdo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blje za ostvarivanje poduzetničke vizije, da li projekt pokazuje pozitivne rezultate u financijskom smislu, da li osigurava podmirenje svih obveza te utvrditi njegovu isplativost.</w:t>
      </w:r>
    </w:p>
    <w:p w14:paraId="3A8AE357" w14:textId="7D4060A9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9C92E5B" w14:textId="26040F62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4CEF088" w14:textId="11EE414A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C4B69FA" w14:textId="742DA191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sectPr w:rsidR="0013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2812" w14:textId="77777777" w:rsidR="0090297A" w:rsidRDefault="0090297A" w:rsidP="00DD0B8B">
      <w:pPr>
        <w:spacing w:after="0" w:line="240" w:lineRule="auto"/>
      </w:pPr>
      <w:r>
        <w:separator/>
      </w:r>
    </w:p>
  </w:endnote>
  <w:endnote w:type="continuationSeparator" w:id="0">
    <w:p w14:paraId="2BD678FB" w14:textId="77777777" w:rsidR="0090297A" w:rsidRDefault="0090297A" w:rsidP="00DD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70356"/>
      <w:docPartObj>
        <w:docPartGallery w:val="Page Numbers (Bottom of Page)"/>
        <w:docPartUnique/>
      </w:docPartObj>
    </w:sdtPr>
    <w:sdtEndPr/>
    <w:sdtContent>
      <w:p w14:paraId="4B25F336" w14:textId="609E6792" w:rsidR="002656DB" w:rsidRDefault="002656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E27D8" w14:textId="77777777" w:rsidR="002656DB" w:rsidRDefault="00265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131372"/>
      <w:docPartObj>
        <w:docPartGallery w:val="Page Numbers (Bottom of Page)"/>
        <w:docPartUnique/>
      </w:docPartObj>
    </w:sdtPr>
    <w:sdtEndPr/>
    <w:sdtContent>
      <w:p w14:paraId="68996FDA" w14:textId="77D45682" w:rsidR="002656DB" w:rsidRDefault="002656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75956" w14:textId="77777777" w:rsidR="002656DB" w:rsidRDefault="00265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D803" w14:textId="77777777" w:rsidR="0090297A" w:rsidRDefault="0090297A" w:rsidP="00DD0B8B">
      <w:pPr>
        <w:spacing w:after="0" w:line="240" w:lineRule="auto"/>
      </w:pPr>
      <w:r>
        <w:separator/>
      </w:r>
    </w:p>
  </w:footnote>
  <w:footnote w:type="continuationSeparator" w:id="0">
    <w:p w14:paraId="1296C62B" w14:textId="77777777" w:rsidR="0090297A" w:rsidRDefault="0090297A" w:rsidP="00DD0B8B">
      <w:pPr>
        <w:spacing w:after="0" w:line="240" w:lineRule="auto"/>
      </w:pPr>
      <w:r>
        <w:continuationSeparator/>
      </w:r>
    </w:p>
  </w:footnote>
  <w:footnote w:id="1">
    <w:p w14:paraId="2A20303E" w14:textId="7754B385" w:rsidR="00EA0369" w:rsidRPr="005979FF" w:rsidRDefault="00EA0369" w:rsidP="00EA0369">
      <w:pPr>
        <w:pStyle w:val="FootnoteText"/>
        <w:rPr>
          <w:lang w:val="hr-HR"/>
        </w:rPr>
      </w:pPr>
      <w:r w:rsidRPr="005979FF">
        <w:rPr>
          <w:rStyle w:val="FootnoteReference"/>
          <w:lang w:val="hr-HR"/>
        </w:rPr>
        <w:footnoteRef/>
      </w:r>
      <w:r w:rsidR="003F1923">
        <w:rPr>
          <w:lang w:val="hr-HR"/>
        </w:rPr>
        <w:t xml:space="preserve"> </w:t>
      </w:r>
      <w:r w:rsidR="003F1923" w:rsidRPr="003F1923">
        <w:rPr>
          <w:lang w:val="hr-HR"/>
        </w:rPr>
        <w:t>Zakon o porezu na dobit (NN 177/04, 90/05, 57/06, 146/08, 80/10, 22/12, 148/13, 143/14, 50/16, 115/16, 106/18, 121/19, 32/20), čl. 12, stavak 3</w:t>
      </w:r>
    </w:p>
  </w:footnote>
  <w:footnote w:id="2">
    <w:p w14:paraId="2E226C72" w14:textId="2C9E5F48" w:rsidR="0090297A" w:rsidRPr="005979FF" w:rsidRDefault="0090297A">
      <w:pPr>
        <w:pStyle w:val="FootnoteText"/>
        <w:rPr>
          <w:rFonts w:ascii="Cambria" w:hAnsi="Cambria"/>
          <w:lang w:val="hr-HR"/>
        </w:rPr>
      </w:pPr>
      <w:r w:rsidRPr="005979FF">
        <w:rPr>
          <w:rStyle w:val="FootnoteReference"/>
          <w:rFonts w:ascii="Cambria" w:hAnsi="Cambria"/>
          <w:lang w:val="hr-HR"/>
        </w:rPr>
        <w:footnoteRef/>
      </w:r>
      <w:r w:rsidRPr="005979FF">
        <w:rPr>
          <w:rFonts w:ascii="Cambria" w:hAnsi="Cambria"/>
          <w:lang w:val="hr-HR"/>
        </w:rPr>
        <w:t xml:space="preserve"> Postotak (%) od ukupno ostvarenog prihoda</w:t>
      </w:r>
    </w:p>
  </w:footnote>
  <w:footnote w:id="3">
    <w:p w14:paraId="0FB15BD0" w14:textId="51B0447B" w:rsidR="0090297A" w:rsidRPr="003F1923" w:rsidRDefault="0090297A" w:rsidP="001D3841">
      <w:pPr>
        <w:pStyle w:val="FootnoteText"/>
        <w:rPr>
          <w:rFonts w:ascii="Cambria" w:hAnsi="Cambria"/>
          <w:lang w:val="hr-HR"/>
        </w:rPr>
      </w:pPr>
      <w:r w:rsidRPr="003F1923">
        <w:rPr>
          <w:rStyle w:val="FootnoteReference"/>
          <w:rFonts w:ascii="Cambria" w:hAnsi="Cambria"/>
          <w:lang w:val="hr-HR"/>
        </w:rPr>
        <w:footnoteRef/>
      </w:r>
      <w:r w:rsidRPr="003F1923">
        <w:rPr>
          <w:rFonts w:ascii="Cambria" w:hAnsi="Cambria"/>
          <w:lang w:val="hr-HR"/>
        </w:rPr>
        <w:t xml:space="preserve"> </w:t>
      </w:r>
      <w:r w:rsidR="003F1923" w:rsidRPr="003F1923">
        <w:rPr>
          <w:rFonts w:ascii="Cambria" w:hAnsi="Cambria"/>
          <w:lang w:val="hr-HR"/>
        </w:rPr>
        <w:t>Zakon o porezu na dobit (NN 177/04, 90/05, 57/06, 146/08, 80/10, 22/12, 148/13, 143/14, 50/16, 115/16, 106/18, 121/19, 32/20), čl. 12, stavak 1 i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801B" w14:textId="25AC1A22" w:rsidR="0090297A" w:rsidRDefault="0090297A" w:rsidP="008E2F16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C108B" wp14:editId="5B6FB74A">
          <wp:simplePos x="0" y="0"/>
          <wp:positionH relativeFrom="column">
            <wp:posOffset>4960620</wp:posOffset>
          </wp:positionH>
          <wp:positionV relativeFrom="paragraph">
            <wp:posOffset>-281305</wp:posOffset>
          </wp:positionV>
          <wp:extent cx="1466162" cy="662940"/>
          <wp:effectExtent l="0" t="0" r="127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Ž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62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7EF"/>
    <w:multiLevelType w:val="hybridMultilevel"/>
    <w:tmpl w:val="137E4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2C0"/>
    <w:multiLevelType w:val="hybridMultilevel"/>
    <w:tmpl w:val="FA80A1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0FD"/>
    <w:multiLevelType w:val="hybridMultilevel"/>
    <w:tmpl w:val="FB801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64034"/>
    <w:multiLevelType w:val="hybridMultilevel"/>
    <w:tmpl w:val="94D08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782"/>
    <w:multiLevelType w:val="hybridMultilevel"/>
    <w:tmpl w:val="B6DA38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F2D"/>
    <w:multiLevelType w:val="hybridMultilevel"/>
    <w:tmpl w:val="645817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849"/>
    <w:multiLevelType w:val="hybridMultilevel"/>
    <w:tmpl w:val="805AA5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4EB5"/>
    <w:multiLevelType w:val="hybridMultilevel"/>
    <w:tmpl w:val="85967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080"/>
    <w:multiLevelType w:val="hybridMultilevel"/>
    <w:tmpl w:val="A73EA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48B5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1B234E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52A02D1"/>
    <w:multiLevelType w:val="hybridMultilevel"/>
    <w:tmpl w:val="8D1E35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5546"/>
    <w:multiLevelType w:val="hybridMultilevel"/>
    <w:tmpl w:val="369EA1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2B19"/>
    <w:multiLevelType w:val="hybridMultilevel"/>
    <w:tmpl w:val="1B4ED6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071C"/>
    <w:multiLevelType w:val="hybridMultilevel"/>
    <w:tmpl w:val="C88A0D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B9F"/>
    <w:multiLevelType w:val="hybridMultilevel"/>
    <w:tmpl w:val="C1D82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059C"/>
    <w:multiLevelType w:val="multilevel"/>
    <w:tmpl w:val="A60E0F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DB56CE"/>
    <w:multiLevelType w:val="hybridMultilevel"/>
    <w:tmpl w:val="6AEEC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2FD7"/>
    <w:multiLevelType w:val="hybridMultilevel"/>
    <w:tmpl w:val="FB86E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47C5"/>
    <w:multiLevelType w:val="hybridMultilevel"/>
    <w:tmpl w:val="46BE4BF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EE3350"/>
    <w:multiLevelType w:val="hybridMultilevel"/>
    <w:tmpl w:val="860639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A1295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2061F6F"/>
    <w:multiLevelType w:val="multilevel"/>
    <w:tmpl w:val="2FE6D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941144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4A405095"/>
    <w:multiLevelType w:val="hybridMultilevel"/>
    <w:tmpl w:val="DDCC7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344"/>
    <w:multiLevelType w:val="hybridMultilevel"/>
    <w:tmpl w:val="46E8BE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94590"/>
    <w:multiLevelType w:val="hybridMultilevel"/>
    <w:tmpl w:val="79D685EA"/>
    <w:lvl w:ilvl="0" w:tplc="CFDA577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52DAF37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74AD"/>
    <w:multiLevelType w:val="hybridMultilevel"/>
    <w:tmpl w:val="DA92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91A03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82A78BE"/>
    <w:multiLevelType w:val="hybridMultilevel"/>
    <w:tmpl w:val="C3C63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C24034"/>
    <w:multiLevelType w:val="hybridMultilevel"/>
    <w:tmpl w:val="7F6A8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5E7D"/>
    <w:multiLevelType w:val="hybridMultilevel"/>
    <w:tmpl w:val="71AC5D2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16F2CA9"/>
    <w:multiLevelType w:val="hybridMultilevel"/>
    <w:tmpl w:val="66A88F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569F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68112E83"/>
    <w:multiLevelType w:val="hybridMultilevel"/>
    <w:tmpl w:val="4408570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E05312"/>
    <w:multiLevelType w:val="hybridMultilevel"/>
    <w:tmpl w:val="544097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7562"/>
    <w:multiLevelType w:val="hybridMultilevel"/>
    <w:tmpl w:val="1BA87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A4AD2"/>
    <w:multiLevelType w:val="hybridMultilevel"/>
    <w:tmpl w:val="25FA3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7574"/>
    <w:multiLevelType w:val="hybridMultilevel"/>
    <w:tmpl w:val="56CA02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8"/>
  </w:num>
  <w:num w:numId="5">
    <w:abstractNumId w:val="27"/>
  </w:num>
  <w:num w:numId="6">
    <w:abstractNumId w:val="31"/>
  </w:num>
  <w:num w:numId="7">
    <w:abstractNumId w:val="24"/>
  </w:num>
  <w:num w:numId="8">
    <w:abstractNumId w:val="17"/>
  </w:num>
  <w:num w:numId="9">
    <w:abstractNumId w:val="7"/>
  </w:num>
  <w:num w:numId="10">
    <w:abstractNumId w:val="9"/>
  </w:num>
  <w:num w:numId="11">
    <w:abstractNumId w:val="1"/>
  </w:num>
  <w:num w:numId="12">
    <w:abstractNumId w:val="25"/>
  </w:num>
  <w:num w:numId="13">
    <w:abstractNumId w:val="23"/>
  </w:num>
  <w:num w:numId="14">
    <w:abstractNumId w:val="26"/>
  </w:num>
  <w:num w:numId="15">
    <w:abstractNumId w:val="2"/>
  </w:num>
  <w:num w:numId="16">
    <w:abstractNumId w:val="34"/>
  </w:num>
  <w:num w:numId="17">
    <w:abstractNumId w:val="30"/>
  </w:num>
  <w:num w:numId="18">
    <w:abstractNumId w:val="18"/>
  </w:num>
  <w:num w:numId="19">
    <w:abstractNumId w:val="3"/>
  </w:num>
  <w:num w:numId="20">
    <w:abstractNumId w:val="32"/>
  </w:num>
  <w:num w:numId="21">
    <w:abstractNumId w:val="10"/>
  </w:num>
  <w:num w:numId="22">
    <w:abstractNumId w:val="29"/>
  </w:num>
  <w:num w:numId="23">
    <w:abstractNumId w:val="19"/>
  </w:num>
  <w:num w:numId="24">
    <w:abstractNumId w:val="0"/>
  </w:num>
  <w:num w:numId="25">
    <w:abstractNumId w:val="5"/>
  </w:num>
  <w:num w:numId="26">
    <w:abstractNumId w:val="6"/>
  </w:num>
  <w:num w:numId="27">
    <w:abstractNumId w:val="14"/>
  </w:num>
  <w:num w:numId="28">
    <w:abstractNumId w:val="20"/>
  </w:num>
  <w:num w:numId="29">
    <w:abstractNumId w:val="11"/>
  </w:num>
  <w:num w:numId="30">
    <w:abstractNumId w:val="38"/>
  </w:num>
  <w:num w:numId="31">
    <w:abstractNumId w:val="35"/>
  </w:num>
  <w:num w:numId="32">
    <w:abstractNumId w:val="33"/>
  </w:num>
  <w:num w:numId="33">
    <w:abstractNumId w:val="36"/>
  </w:num>
  <w:num w:numId="34">
    <w:abstractNumId w:val="4"/>
  </w:num>
  <w:num w:numId="35">
    <w:abstractNumId w:val="13"/>
  </w:num>
  <w:num w:numId="36">
    <w:abstractNumId w:val="8"/>
  </w:num>
  <w:num w:numId="37">
    <w:abstractNumId w:val="37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03"/>
    <w:rsid w:val="00012629"/>
    <w:rsid w:val="000461D0"/>
    <w:rsid w:val="00053F87"/>
    <w:rsid w:val="00070802"/>
    <w:rsid w:val="000922C1"/>
    <w:rsid w:val="000929D1"/>
    <w:rsid w:val="00095B44"/>
    <w:rsid w:val="000A70B6"/>
    <w:rsid w:val="000C42A9"/>
    <w:rsid w:val="000D6602"/>
    <w:rsid w:val="001176CF"/>
    <w:rsid w:val="00125AD7"/>
    <w:rsid w:val="00125E64"/>
    <w:rsid w:val="0013573D"/>
    <w:rsid w:val="001B41FD"/>
    <w:rsid w:val="001B4476"/>
    <w:rsid w:val="001B4D11"/>
    <w:rsid w:val="001D3841"/>
    <w:rsid w:val="002656DB"/>
    <w:rsid w:val="00265979"/>
    <w:rsid w:val="00271E9E"/>
    <w:rsid w:val="002A0E96"/>
    <w:rsid w:val="002B4DB8"/>
    <w:rsid w:val="00304C9E"/>
    <w:rsid w:val="00306F6D"/>
    <w:rsid w:val="00347CBE"/>
    <w:rsid w:val="00377947"/>
    <w:rsid w:val="0038731E"/>
    <w:rsid w:val="00387C59"/>
    <w:rsid w:val="003F1923"/>
    <w:rsid w:val="00410342"/>
    <w:rsid w:val="004151E1"/>
    <w:rsid w:val="004440A7"/>
    <w:rsid w:val="0044454B"/>
    <w:rsid w:val="00486626"/>
    <w:rsid w:val="004969D7"/>
    <w:rsid w:val="004A7148"/>
    <w:rsid w:val="004A794B"/>
    <w:rsid w:val="004B221D"/>
    <w:rsid w:val="004C032E"/>
    <w:rsid w:val="004C7A7D"/>
    <w:rsid w:val="004E4136"/>
    <w:rsid w:val="004F4605"/>
    <w:rsid w:val="004F4CB8"/>
    <w:rsid w:val="00504C05"/>
    <w:rsid w:val="00507933"/>
    <w:rsid w:val="00525068"/>
    <w:rsid w:val="005272CA"/>
    <w:rsid w:val="00557BA6"/>
    <w:rsid w:val="005608F1"/>
    <w:rsid w:val="00593268"/>
    <w:rsid w:val="005979FF"/>
    <w:rsid w:val="005A2CE3"/>
    <w:rsid w:val="005C018A"/>
    <w:rsid w:val="005C6C65"/>
    <w:rsid w:val="005D5A46"/>
    <w:rsid w:val="005D7170"/>
    <w:rsid w:val="00633803"/>
    <w:rsid w:val="00676743"/>
    <w:rsid w:val="00691662"/>
    <w:rsid w:val="00691A06"/>
    <w:rsid w:val="00697F29"/>
    <w:rsid w:val="006A6CCD"/>
    <w:rsid w:val="006C312F"/>
    <w:rsid w:val="006D0D1A"/>
    <w:rsid w:val="00704D86"/>
    <w:rsid w:val="00734D17"/>
    <w:rsid w:val="00746AAB"/>
    <w:rsid w:val="007860DA"/>
    <w:rsid w:val="007866B8"/>
    <w:rsid w:val="00796F6C"/>
    <w:rsid w:val="007D3380"/>
    <w:rsid w:val="0081633D"/>
    <w:rsid w:val="008305A9"/>
    <w:rsid w:val="008518DF"/>
    <w:rsid w:val="00852331"/>
    <w:rsid w:val="00856D7D"/>
    <w:rsid w:val="00857E03"/>
    <w:rsid w:val="00860B3B"/>
    <w:rsid w:val="00864354"/>
    <w:rsid w:val="00875EF9"/>
    <w:rsid w:val="0087771F"/>
    <w:rsid w:val="008921A5"/>
    <w:rsid w:val="008A64CE"/>
    <w:rsid w:val="008C605F"/>
    <w:rsid w:val="008E2F16"/>
    <w:rsid w:val="0090297A"/>
    <w:rsid w:val="009239DD"/>
    <w:rsid w:val="0093504E"/>
    <w:rsid w:val="00935D0C"/>
    <w:rsid w:val="009420D8"/>
    <w:rsid w:val="009432CF"/>
    <w:rsid w:val="00957951"/>
    <w:rsid w:val="00964566"/>
    <w:rsid w:val="00965832"/>
    <w:rsid w:val="00970ED6"/>
    <w:rsid w:val="00975EDA"/>
    <w:rsid w:val="00983974"/>
    <w:rsid w:val="00984528"/>
    <w:rsid w:val="00991DA8"/>
    <w:rsid w:val="009966C4"/>
    <w:rsid w:val="00997526"/>
    <w:rsid w:val="009A4B5E"/>
    <w:rsid w:val="009B47B2"/>
    <w:rsid w:val="009D344F"/>
    <w:rsid w:val="009D5281"/>
    <w:rsid w:val="009E346B"/>
    <w:rsid w:val="009E5773"/>
    <w:rsid w:val="00A003E1"/>
    <w:rsid w:val="00A00BBC"/>
    <w:rsid w:val="00A1186F"/>
    <w:rsid w:val="00A235FA"/>
    <w:rsid w:val="00A24089"/>
    <w:rsid w:val="00A30DD2"/>
    <w:rsid w:val="00A6479A"/>
    <w:rsid w:val="00A774B4"/>
    <w:rsid w:val="00A9653D"/>
    <w:rsid w:val="00AA0CC7"/>
    <w:rsid w:val="00AC371B"/>
    <w:rsid w:val="00B10AF7"/>
    <w:rsid w:val="00B16E65"/>
    <w:rsid w:val="00B251B3"/>
    <w:rsid w:val="00B25961"/>
    <w:rsid w:val="00B34405"/>
    <w:rsid w:val="00B6058F"/>
    <w:rsid w:val="00B61DED"/>
    <w:rsid w:val="00B81EA6"/>
    <w:rsid w:val="00B9205F"/>
    <w:rsid w:val="00BB7A47"/>
    <w:rsid w:val="00BF2CCA"/>
    <w:rsid w:val="00C065A4"/>
    <w:rsid w:val="00C23D9D"/>
    <w:rsid w:val="00C55DD0"/>
    <w:rsid w:val="00C568AD"/>
    <w:rsid w:val="00C63A1F"/>
    <w:rsid w:val="00C6795A"/>
    <w:rsid w:val="00C91072"/>
    <w:rsid w:val="00C950EC"/>
    <w:rsid w:val="00CA3E74"/>
    <w:rsid w:val="00CD1DC1"/>
    <w:rsid w:val="00CF1B4F"/>
    <w:rsid w:val="00D02230"/>
    <w:rsid w:val="00D06B30"/>
    <w:rsid w:val="00D305A3"/>
    <w:rsid w:val="00D371C0"/>
    <w:rsid w:val="00D80B05"/>
    <w:rsid w:val="00D84303"/>
    <w:rsid w:val="00DB37CB"/>
    <w:rsid w:val="00DB5806"/>
    <w:rsid w:val="00DB792E"/>
    <w:rsid w:val="00DC22F0"/>
    <w:rsid w:val="00DD0B8B"/>
    <w:rsid w:val="00DE155A"/>
    <w:rsid w:val="00DE776C"/>
    <w:rsid w:val="00E03BFC"/>
    <w:rsid w:val="00E07D24"/>
    <w:rsid w:val="00E137E2"/>
    <w:rsid w:val="00E62537"/>
    <w:rsid w:val="00E72CF7"/>
    <w:rsid w:val="00E7793E"/>
    <w:rsid w:val="00EA0369"/>
    <w:rsid w:val="00EA42B2"/>
    <w:rsid w:val="00EB0F88"/>
    <w:rsid w:val="00EB1A9D"/>
    <w:rsid w:val="00EB22FF"/>
    <w:rsid w:val="00ED74E0"/>
    <w:rsid w:val="00ED7ED5"/>
    <w:rsid w:val="00EE4627"/>
    <w:rsid w:val="00EE6011"/>
    <w:rsid w:val="00EF4943"/>
    <w:rsid w:val="00F15F7F"/>
    <w:rsid w:val="00F25F7A"/>
    <w:rsid w:val="00F30B04"/>
    <w:rsid w:val="00F45842"/>
    <w:rsid w:val="00F47660"/>
    <w:rsid w:val="00F546DF"/>
    <w:rsid w:val="00F9423B"/>
    <w:rsid w:val="00FB722F"/>
    <w:rsid w:val="00FE01D6"/>
    <w:rsid w:val="00FE252A"/>
    <w:rsid w:val="00FF262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CA5D80"/>
  <w15:chartTrackingRefBased/>
  <w15:docId w15:val="{6D6BD551-BEF6-4080-8D68-B8A8BF7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41"/>
  </w:style>
  <w:style w:type="paragraph" w:styleId="Heading1">
    <w:name w:val="heading 1"/>
    <w:basedOn w:val="Normal"/>
    <w:next w:val="Normal"/>
    <w:link w:val="Heading1Char"/>
    <w:uiPriority w:val="9"/>
    <w:qFormat/>
    <w:rsid w:val="000D66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02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602"/>
    <w:pPr>
      <w:keepNext/>
      <w:keepLines/>
      <w:spacing w:before="40" w:after="0"/>
      <w:ind w:left="1416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03"/>
    <w:pPr>
      <w:ind w:left="720"/>
      <w:contextualSpacing/>
    </w:pPr>
  </w:style>
  <w:style w:type="paragraph" w:customStyle="1" w:styleId="t-98-2">
    <w:name w:val="t-98-2"/>
    <w:basedOn w:val="Normal"/>
    <w:rsid w:val="0096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F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50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07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E07D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012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660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6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602"/>
    <w:rPr>
      <w:rFonts w:ascii="Times New Roman" w:eastAsiaTheme="majorEastAsia" w:hAnsi="Times New Roman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4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7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7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47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B47B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A6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D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0B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DD0B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05"/>
  </w:style>
  <w:style w:type="paragraph" w:styleId="Footer">
    <w:name w:val="footer"/>
    <w:basedOn w:val="Normal"/>
    <w:link w:val="Foot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05"/>
  </w:style>
  <w:style w:type="paragraph" w:styleId="TableofFigures">
    <w:name w:val="table of figures"/>
    <w:basedOn w:val="Normal"/>
    <w:next w:val="Normal"/>
    <w:uiPriority w:val="99"/>
    <w:unhideWhenUsed/>
    <w:rsid w:val="001357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3" ma:contentTypeDescription="Create a new document." ma:contentTypeScope="" ma:versionID="e29f5c878f5afe1fbebc171798a2186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f411ee4d00f0a833249323eea840f4cf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F5EE-07AD-4F6B-8EFA-2FDF29011E1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d08499f7-91e2-4201-b29e-f7df2a6842ef"/>
    <ds:schemaRef ds:uri="http://schemas.microsoft.com/office/2006/metadata/properties"/>
    <ds:schemaRef ds:uri="8c106ffc-7101-427c-9506-c784bb4dda0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10AFB6-BF81-41F6-AE06-F13F7713F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76747-7A84-4662-827D-E0BA41F8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19A64-20BD-46B9-9529-7341C5A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Mudronja</dc:creator>
  <cp:keywords/>
  <dc:description/>
  <cp:lastModifiedBy>Gorana Mudronja</cp:lastModifiedBy>
  <cp:revision>25</cp:revision>
  <cp:lastPrinted>2020-11-25T07:47:00Z</cp:lastPrinted>
  <dcterms:created xsi:type="dcterms:W3CDTF">2020-11-10T12:46:00Z</dcterms:created>
  <dcterms:modified xsi:type="dcterms:W3CDTF">2020-11-25T07:47:00Z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