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526B0C">
        <w:trPr>
          <w:tblCellSpacing w:w="60" w:type="dxa"/>
        </w:trPr>
        <w:tc>
          <w:tcPr>
            <w:tcW w:w="1200" w:type="pct"/>
            <w:shd w:val="clear" w:color="auto" w:fill="E7F0F9"/>
          </w:tcPr>
          <w:p w:rsidR="00526B0C" w:rsidRDefault="00950DA0">
            <w:pPr>
              <w:spacing w:after="0" w:line="240" w:lineRule="auto"/>
            </w:pPr>
            <w:r>
              <w:rPr>
                <w:b/>
              </w:rPr>
              <w:t>RKP broj</w:t>
            </w:r>
          </w:p>
        </w:tc>
        <w:tc>
          <w:tcPr>
            <w:tcW w:w="0" w:type="auto"/>
            <w:shd w:val="clear" w:color="auto" w:fill="E7F0F9"/>
          </w:tcPr>
          <w:p w:rsidR="00526B0C" w:rsidRDefault="00950DA0">
            <w:pPr>
              <w:spacing w:after="0" w:line="240" w:lineRule="auto"/>
            </w:pPr>
            <w:r>
              <w:t>29429</w:t>
            </w:r>
          </w:p>
        </w:tc>
      </w:tr>
      <w:tr w:rsidR="00526B0C">
        <w:trPr>
          <w:tblCellSpacing w:w="60" w:type="dxa"/>
        </w:trPr>
        <w:tc>
          <w:tcPr>
            <w:tcW w:w="1200" w:type="pct"/>
            <w:shd w:val="clear" w:color="auto" w:fill="E7F0F9"/>
          </w:tcPr>
          <w:p w:rsidR="00526B0C" w:rsidRDefault="00950DA0">
            <w:pPr>
              <w:spacing w:after="0" w:line="240" w:lineRule="auto"/>
            </w:pPr>
            <w:r>
              <w:rPr>
                <w:b/>
              </w:rPr>
              <w:t>Naziv obveznika</w:t>
            </w:r>
          </w:p>
        </w:tc>
        <w:tc>
          <w:tcPr>
            <w:tcW w:w="0" w:type="auto"/>
            <w:shd w:val="clear" w:color="auto" w:fill="E7F0F9"/>
          </w:tcPr>
          <w:p w:rsidR="00526B0C" w:rsidRDefault="00950DA0">
            <w:pPr>
              <w:spacing w:after="0" w:line="240" w:lineRule="auto"/>
            </w:pPr>
            <w:r>
              <w:t>PRIMORSKO-GORANSKA ŽUPANIJA</w:t>
            </w:r>
          </w:p>
        </w:tc>
      </w:tr>
      <w:tr w:rsidR="00526B0C">
        <w:trPr>
          <w:tblCellSpacing w:w="60" w:type="dxa"/>
        </w:trPr>
        <w:tc>
          <w:tcPr>
            <w:tcW w:w="1200" w:type="pct"/>
            <w:shd w:val="clear" w:color="auto" w:fill="E7F0F9"/>
          </w:tcPr>
          <w:p w:rsidR="00526B0C" w:rsidRDefault="00950DA0">
            <w:pPr>
              <w:spacing w:after="0" w:line="240" w:lineRule="auto"/>
            </w:pPr>
            <w:r>
              <w:rPr>
                <w:b/>
              </w:rPr>
              <w:t>Razina</w:t>
            </w:r>
          </w:p>
        </w:tc>
        <w:tc>
          <w:tcPr>
            <w:tcW w:w="0" w:type="auto"/>
            <w:shd w:val="clear" w:color="auto" w:fill="E7F0F9"/>
          </w:tcPr>
          <w:p w:rsidR="00526B0C" w:rsidRDefault="00950DA0">
            <w:pPr>
              <w:spacing w:after="0" w:line="240" w:lineRule="auto"/>
            </w:pPr>
            <w:r>
              <w:t>23</w:t>
            </w:r>
          </w:p>
        </w:tc>
      </w:tr>
    </w:tbl>
    <w:p w:rsidR="00526B0C" w:rsidRDefault="00950DA0">
      <w:r>
        <w:br/>
      </w:r>
    </w:p>
    <w:p w:rsidR="00526B0C" w:rsidRDefault="00950DA0">
      <w:pPr>
        <w:spacing w:line="240" w:lineRule="auto"/>
        <w:jc w:val="center"/>
      </w:pPr>
      <w:r>
        <w:rPr>
          <w:b/>
          <w:sz w:val="28"/>
        </w:rPr>
        <w:t>BILJEŠKE UZ FINANCIJSKE IZVJEŠTAJE</w:t>
      </w:r>
    </w:p>
    <w:p w:rsidR="00526B0C" w:rsidRDefault="00950DA0">
      <w:pPr>
        <w:spacing w:line="240" w:lineRule="auto"/>
        <w:jc w:val="center"/>
      </w:pPr>
      <w:r>
        <w:rPr>
          <w:b/>
          <w:sz w:val="28"/>
        </w:rPr>
        <w:t>ZA RAZDOBLJE</w:t>
      </w:r>
    </w:p>
    <w:p w:rsidR="00526B0C" w:rsidRDefault="00950DA0">
      <w:pPr>
        <w:spacing w:line="240" w:lineRule="auto"/>
        <w:jc w:val="center"/>
      </w:pPr>
      <w:r>
        <w:rPr>
          <w:b/>
          <w:sz w:val="28"/>
        </w:rPr>
        <w:t>I - VI 2026.</w:t>
      </w:r>
    </w:p>
    <w:p w:rsidR="00526B0C" w:rsidRDefault="00526B0C"/>
    <w:p w:rsidR="00526B0C" w:rsidRDefault="00950DA0">
      <w:pPr>
        <w:keepNext/>
        <w:spacing w:line="240" w:lineRule="auto"/>
        <w:jc w:val="center"/>
      </w:pPr>
      <w:r>
        <w:rPr>
          <w:b/>
          <w:sz w:val="28"/>
        </w:rPr>
        <w:t>Izvještaj o prihodima i rashodima, primicima i izdacima</w:t>
      </w:r>
    </w:p>
    <w:p w:rsidR="00526B0C" w:rsidRDefault="00950DA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w:t>
            </w:r>
          </w:p>
        </w:tc>
        <w:tc>
          <w:tcPr>
            <w:tcW w:w="3180" w:type="dxa"/>
            <w:tcMar>
              <w:top w:w="0" w:type="dxa"/>
              <w:bottom w:w="0" w:type="dxa"/>
            </w:tcMar>
            <w:vAlign w:val="center"/>
          </w:tcPr>
          <w:p w:rsidR="00526B0C" w:rsidRDefault="00950DA0">
            <w:pPr>
              <w:keepNext/>
              <w:keepLines/>
              <w:spacing w:after="0" w:line="240" w:lineRule="auto"/>
            </w:pPr>
            <w:r>
              <w:rPr>
                <w:sz w:val="18"/>
              </w:rPr>
              <w:t>PRIHODI POSLOVANJA (šifre 61+62+63+64+65+66+67+68)</w:t>
            </w:r>
          </w:p>
        </w:tc>
        <w:tc>
          <w:tcPr>
            <w:tcW w:w="700" w:type="dxa"/>
            <w:tcMar>
              <w:top w:w="0" w:type="dxa"/>
              <w:bottom w:w="0" w:type="dxa"/>
            </w:tcMar>
            <w:vAlign w:val="center"/>
          </w:tcPr>
          <w:p w:rsidR="00526B0C" w:rsidRDefault="00950DA0">
            <w:pPr>
              <w:keepNext/>
              <w:keepLines/>
              <w:spacing w:after="0" w:line="240" w:lineRule="auto"/>
            </w:pPr>
            <w:r>
              <w:rPr>
                <w:sz w:val="18"/>
              </w:rPr>
              <w:t>6</w:t>
            </w:r>
          </w:p>
        </w:tc>
        <w:tc>
          <w:tcPr>
            <w:tcW w:w="1860" w:type="dxa"/>
            <w:tcMar>
              <w:top w:w="0" w:type="dxa"/>
              <w:bottom w:w="0" w:type="dxa"/>
            </w:tcMar>
            <w:vAlign w:val="center"/>
          </w:tcPr>
          <w:p w:rsidR="00526B0C" w:rsidRDefault="00950DA0">
            <w:pPr>
              <w:keepNext/>
              <w:keepLines/>
              <w:spacing w:after="0" w:line="240" w:lineRule="auto"/>
              <w:jc w:val="right"/>
            </w:pPr>
            <w:r>
              <w:rPr>
                <w:sz w:val="18"/>
              </w:rPr>
              <w:t>149.198.121,79</w:t>
            </w:r>
          </w:p>
        </w:tc>
        <w:tc>
          <w:tcPr>
            <w:tcW w:w="1860" w:type="dxa"/>
            <w:tcMar>
              <w:top w:w="0" w:type="dxa"/>
              <w:bottom w:w="0" w:type="dxa"/>
            </w:tcMar>
            <w:vAlign w:val="center"/>
          </w:tcPr>
          <w:p w:rsidR="00526B0C" w:rsidRDefault="00950DA0">
            <w:pPr>
              <w:keepNext/>
              <w:keepLines/>
              <w:spacing w:after="0" w:line="240" w:lineRule="auto"/>
              <w:jc w:val="right"/>
            </w:pPr>
            <w:r>
              <w:rPr>
                <w:sz w:val="18"/>
              </w:rPr>
              <w:t>166.823.725,00</w:t>
            </w:r>
          </w:p>
        </w:tc>
        <w:tc>
          <w:tcPr>
            <w:tcW w:w="700" w:type="dxa"/>
            <w:tcMar>
              <w:top w:w="0" w:type="dxa"/>
              <w:bottom w:w="0" w:type="dxa"/>
            </w:tcMar>
            <w:vAlign w:val="center"/>
          </w:tcPr>
          <w:p w:rsidR="00526B0C" w:rsidRDefault="00950DA0">
            <w:pPr>
              <w:keepNext/>
              <w:keepLines/>
              <w:spacing w:after="0" w:line="240" w:lineRule="auto"/>
              <w:jc w:val="right"/>
            </w:pPr>
            <w:r>
              <w:rPr>
                <w:sz w:val="18"/>
              </w:rPr>
              <w:t>111,8</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3</w:t>
            </w:r>
          </w:p>
        </w:tc>
        <w:tc>
          <w:tcPr>
            <w:tcW w:w="3180" w:type="dxa"/>
            <w:tcMar>
              <w:top w:w="0" w:type="dxa"/>
              <w:bottom w:w="0" w:type="dxa"/>
            </w:tcMar>
            <w:vAlign w:val="center"/>
          </w:tcPr>
          <w:p w:rsidR="00526B0C" w:rsidRDefault="00950DA0">
            <w:pPr>
              <w:keepNext/>
              <w:keepLines/>
              <w:spacing w:after="0" w:line="240" w:lineRule="auto"/>
            </w:pPr>
            <w:r>
              <w:rPr>
                <w:sz w:val="18"/>
              </w:rPr>
              <w:t>RASHODI POSLOVANJA (šifre 31+32+34+35+36+37+38)</w:t>
            </w:r>
          </w:p>
        </w:tc>
        <w:tc>
          <w:tcPr>
            <w:tcW w:w="700" w:type="dxa"/>
            <w:tcMar>
              <w:top w:w="0" w:type="dxa"/>
              <w:bottom w:w="0" w:type="dxa"/>
            </w:tcMar>
            <w:vAlign w:val="center"/>
          </w:tcPr>
          <w:p w:rsidR="00526B0C" w:rsidRDefault="00950DA0">
            <w:pPr>
              <w:keepNext/>
              <w:keepLines/>
              <w:spacing w:after="0" w:line="240" w:lineRule="auto"/>
            </w:pPr>
            <w:r>
              <w:rPr>
                <w:sz w:val="18"/>
              </w:rPr>
              <w:t>3</w:t>
            </w:r>
          </w:p>
        </w:tc>
        <w:tc>
          <w:tcPr>
            <w:tcW w:w="1860" w:type="dxa"/>
            <w:tcMar>
              <w:top w:w="0" w:type="dxa"/>
              <w:bottom w:w="0" w:type="dxa"/>
            </w:tcMar>
            <w:vAlign w:val="center"/>
          </w:tcPr>
          <w:p w:rsidR="00526B0C" w:rsidRDefault="00950DA0">
            <w:pPr>
              <w:keepNext/>
              <w:keepLines/>
              <w:spacing w:after="0" w:line="240" w:lineRule="auto"/>
              <w:jc w:val="right"/>
            </w:pPr>
            <w:r>
              <w:rPr>
                <w:sz w:val="18"/>
              </w:rPr>
              <w:t>144.142.321,60</w:t>
            </w:r>
          </w:p>
        </w:tc>
        <w:tc>
          <w:tcPr>
            <w:tcW w:w="1860" w:type="dxa"/>
            <w:tcMar>
              <w:top w:w="0" w:type="dxa"/>
              <w:bottom w:w="0" w:type="dxa"/>
            </w:tcMar>
            <w:vAlign w:val="center"/>
          </w:tcPr>
          <w:p w:rsidR="00526B0C" w:rsidRDefault="00950DA0">
            <w:pPr>
              <w:keepNext/>
              <w:keepLines/>
              <w:spacing w:after="0" w:line="240" w:lineRule="auto"/>
              <w:jc w:val="right"/>
            </w:pPr>
            <w:r>
              <w:rPr>
                <w:sz w:val="18"/>
              </w:rPr>
              <w:t>146.693.645,81</w:t>
            </w:r>
          </w:p>
        </w:tc>
        <w:tc>
          <w:tcPr>
            <w:tcW w:w="700" w:type="dxa"/>
            <w:tcMar>
              <w:top w:w="0" w:type="dxa"/>
              <w:bottom w:w="0" w:type="dxa"/>
            </w:tcMar>
            <w:vAlign w:val="center"/>
          </w:tcPr>
          <w:p w:rsidR="00526B0C" w:rsidRDefault="00950DA0">
            <w:pPr>
              <w:keepNext/>
              <w:keepLines/>
              <w:spacing w:after="0" w:line="240" w:lineRule="auto"/>
              <w:jc w:val="right"/>
            </w:pPr>
            <w:r>
              <w:rPr>
                <w:sz w:val="18"/>
              </w:rPr>
              <w:t>101,8</w:t>
            </w:r>
          </w:p>
        </w:tc>
      </w:tr>
      <w:tr w:rsidR="00526B0C">
        <w:trPr>
          <w:cantSplit/>
          <w:trHeight w:val="560"/>
        </w:trPr>
        <w:tc>
          <w:tcPr>
            <w:tcW w:w="700" w:type="dxa"/>
            <w:tcMar>
              <w:top w:w="0" w:type="dxa"/>
              <w:bottom w:w="0" w:type="dxa"/>
            </w:tcMar>
            <w:vAlign w:val="center"/>
          </w:tcPr>
          <w:p w:rsidR="00526B0C" w:rsidRDefault="00526B0C">
            <w:pPr>
              <w:keepNext/>
              <w:keepLines/>
              <w:spacing w:after="0" w:line="240" w:lineRule="auto"/>
            </w:pPr>
          </w:p>
        </w:tc>
        <w:tc>
          <w:tcPr>
            <w:tcW w:w="3180" w:type="dxa"/>
            <w:tcMar>
              <w:top w:w="0" w:type="dxa"/>
              <w:bottom w:w="0" w:type="dxa"/>
            </w:tcMar>
            <w:vAlign w:val="center"/>
          </w:tcPr>
          <w:p w:rsidR="00526B0C" w:rsidRDefault="00950DA0">
            <w:pPr>
              <w:keepNext/>
              <w:keepLines/>
              <w:spacing w:after="0" w:line="240" w:lineRule="auto"/>
            </w:pPr>
            <w:r>
              <w:rPr>
                <w:b/>
                <w:sz w:val="18"/>
              </w:rPr>
              <w:t>VIŠAK PRIHODA POSLOVANJA (šifre 6-Z005)</w:t>
            </w:r>
          </w:p>
        </w:tc>
        <w:tc>
          <w:tcPr>
            <w:tcW w:w="700" w:type="dxa"/>
            <w:tcMar>
              <w:top w:w="0" w:type="dxa"/>
              <w:bottom w:w="0" w:type="dxa"/>
            </w:tcMar>
            <w:vAlign w:val="center"/>
          </w:tcPr>
          <w:p w:rsidR="00526B0C" w:rsidRDefault="00950DA0">
            <w:pPr>
              <w:keepNext/>
              <w:keepLines/>
              <w:spacing w:after="0" w:line="240" w:lineRule="auto"/>
            </w:pPr>
            <w:r>
              <w:rPr>
                <w:b/>
                <w:sz w:val="18"/>
              </w:rPr>
              <w:t>X001</w:t>
            </w:r>
          </w:p>
        </w:tc>
        <w:tc>
          <w:tcPr>
            <w:tcW w:w="1860" w:type="dxa"/>
            <w:tcMar>
              <w:top w:w="0" w:type="dxa"/>
              <w:bottom w:w="0" w:type="dxa"/>
            </w:tcMar>
            <w:vAlign w:val="center"/>
          </w:tcPr>
          <w:p w:rsidR="00526B0C" w:rsidRDefault="00950DA0">
            <w:pPr>
              <w:keepNext/>
              <w:keepLines/>
              <w:spacing w:after="0" w:line="240" w:lineRule="auto"/>
              <w:jc w:val="right"/>
            </w:pPr>
            <w:r>
              <w:rPr>
                <w:b/>
                <w:sz w:val="18"/>
              </w:rPr>
              <w:t>5.054.664,92</w:t>
            </w:r>
          </w:p>
        </w:tc>
        <w:tc>
          <w:tcPr>
            <w:tcW w:w="1860" w:type="dxa"/>
            <w:tcMar>
              <w:top w:w="0" w:type="dxa"/>
              <w:bottom w:w="0" w:type="dxa"/>
            </w:tcMar>
            <w:vAlign w:val="center"/>
          </w:tcPr>
          <w:p w:rsidR="00526B0C" w:rsidRDefault="00950DA0">
            <w:pPr>
              <w:keepNext/>
              <w:keepLines/>
              <w:spacing w:after="0" w:line="240" w:lineRule="auto"/>
              <w:jc w:val="right"/>
            </w:pPr>
            <w:r>
              <w:rPr>
                <w:b/>
                <w:sz w:val="18"/>
              </w:rPr>
              <w:t>20.125.964,89</w:t>
            </w:r>
          </w:p>
        </w:tc>
        <w:tc>
          <w:tcPr>
            <w:tcW w:w="700" w:type="dxa"/>
            <w:tcMar>
              <w:top w:w="0" w:type="dxa"/>
              <w:bottom w:w="0" w:type="dxa"/>
            </w:tcMar>
            <w:vAlign w:val="center"/>
          </w:tcPr>
          <w:p w:rsidR="00526B0C" w:rsidRDefault="00950DA0">
            <w:pPr>
              <w:keepNext/>
              <w:keepLines/>
              <w:spacing w:after="0" w:line="240" w:lineRule="auto"/>
              <w:jc w:val="right"/>
            </w:pPr>
            <w:r>
              <w:rPr>
                <w:b/>
                <w:sz w:val="18"/>
              </w:rPr>
              <w:t>398,2</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7</w:t>
            </w:r>
          </w:p>
        </w:tc>
        <w:tc>
          <w:tcPr>
            <w:tcW w:w="3180" w:type="dxa"/>
            <w:tcMar>
              <w:top w:w="0" w:type="dxa"/>
              <w:bottom w:w="0" w:type="dxa"/>
            </w:tcMar>
            <w:vAlign w:val="center"/>
          </w:tcPr>
          <w:p w:rsidR="00526B0C" w:rsidRDefault="00950DA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526B0C" w:rsidRDefault="00950DA0">
            <w:pPr>
              <w:keepNext/>
              <w:keepLines/>
              <w:spacing w:after="0" w:line="240" w:lineRule="auto"/>
            </w:pPr>
            <w:r>
              <w:rPr>
                <w:sz w:val="18"/>
              </w:rPr>
              <w:t>7</w:t>
            </w:r>
          </w:p>
        </w:tc>
        <w:tc>
          <w:tcPr>
            <w:tcW w:w="1860" w:type="dxa"/>
            <w:tcMar>
              <w:top w:w="0" w:type="dxa"/>
              <w:bottom w:w="0" w:type="dxa"/>
            </w:tcMar>
            <w:vAlign w:val="center"/>
          </w:tcPr>
          <w:p w:rsidR="00526B0C" w:rsidRDefault="00950DA0">
            <w:pPr>
              <w:keepNext/>
              <w:keepLines/>
              <w:spacing w:after="0" w:line="240" w:lineRule="auto"/>
              <w:jc w:val="right"/>
            </w:pPr>
            <w:r>
              <w:rPr>
                <w:sz w:val="18"/>
              </w:rPr>
              <w:t>69.660,87</w:t>
            </w:r>
          </w:p>
        </w:tc>
        <w:tc>
          <w:tcPr>
            <w:tcW w:w="1860" w:type="dxa"/>
            <w:tcMar>
              <w:top w:w="0" w:type="dxa"/>
              <w:bottom w:w="0" w:type="dxa"/>
            </w:tcMar>
            <w:vAlign w:val="center"/>
          </w:tcPr>
          <w:p w:rsidR="00526B0C" w:rsidRDefault="00950DA0">
            <w:pPr>
              <w:keepNext/>
              <w:keepLines/>
              <w:spacing w:after="0" w:line="240" w:lineRule="auto"/>
              <w:jc w:val="right"/>
            </w:pPr>
            <w:r>
              <w:rPr>
                <w:sz w:val="18"/>
              </w:rPr>
              <w:t>118.354,97</w:t>
            </w:r>
          </w:p>
        </w:tc>
        <w:tc>
          <w:tcPr>
            <w:tcW w:w="700" w:type="dxa"/>
            <w:tcMar>
              <w:top w:w="0" w:type="dxa"/>
              <w:bottom w:w="0" w:type="dxa"/>
            </w:tcMar>
            <w:vAlign w:val="center"/>
          </w:tcPr>
          <w:p w:rsidR="00526B0C" w:rsidRDefault="00950DA0">
            <w:pPr>
              <w:keepNext/>
              <w:keepLines/>
              <w:spacing w:after="0" w:line="240" w:lineRule="auto"/>
              <w:jc w:val="right"/>
            </w:pPr>
            <w:r>
              <w:rPr>
                <w:sz w:val="18"/>
              </w:rPr>
              <w:t>169,9</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w:t>
            </w:r>
          </w:p>
        </w:tc>
        <w:tc>
          <w:tcPr>
            <w:tcW w:w="3180" w:type="dxa"/>
            <w:tcMar>
              <w:top w:w="0" w:type="dxa"/>
              <w:bottom w:w="0" w:type="dxa"/>
            </w:tcMar>
            <w:vAlign w:val="center"/>
          </w:tcPr>
          <w:p w:rsidR="00526B0C" w:rsidRDefault="00950DA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526B0C" w:rsidRDefault="00950DA0">
            <w:pPr>
              <w:keepNext/>
              <w:keepLines/>
              <w:spacing w:after="0" w:line="240" w:lineRule="auto"/>
            </w:pPr>
            <w:r>
              <w:rPr>
                <w:sz w:val="18"/>
              </w:rPr>
              <w:t>4</w:t>
            </w:r>
          </w:p>
        </w:tc>
        <w:tc>
          <w:tcPr>
            <w:tcW w:w="1860" w:type="dxa"/>
            <w:tcMar>
              <w:top w:w="0" w:type="dxa"/>
              <w:bottom w:w="0" w:type="dxa"/>
            </w:tcMar>
            <w:vAlign w:val="center"/>
          </w:tcPr>
          <w:p w:rsidR="00526B0C" w:rsidRDefault="00950DA0">
            <w:pPr>
              <w:keepNext/>
              <w:keepLines/>
              <w:spacing w:after="0" w:line="240" w:lineRule="auto"/>
              <w:jc w:val="right"/>
            </w:pPr>
            <w:r>
              <w:rPr>
                <w:sz w:val="18"/>
              </w:rPr>
              <w:t>8.414.644,25</w:t>
            </w:r>
          </w:p>
        </w:tc>
        <w:tc>
          <w:tcPr>
            <w:tcW w:w="1860" w:type="dxa"/>
            <w:tcMar>
              <w:top w:w="0" w:type="dxa"/>
              <w:bottom w:w="0" w:type="dxa"/>
            </w:tcMar>
            <w:vAlign w:val="center"/>
          </w:tcPr>
          <w:p w:rsidR="00526B0C" w:rsidRDefault="00950DA0">
            <w:pPr>
              <w:keepNext/>
              <w:keepLines/>
              <w:spacing w:after="0" w:line="240" w:lineRule="auto"/>
              <w:jc w:val="right"/>
            </w:pPr>
            <w:r>
              <w:rPr>
                <w:sz w:val="18"/>
              </w:rPr>
              <w:t>21.910.103,74</w:t>
            </w:r>
          </w:p>
        </w:tc>
        <w:tc>
          <w:tcPr>
            <w:tcW w:w="700" w:type="dxa"/>
            <w:tcMar>
              <w:top w:w="0" w:type="dxa"/>
              <w:bottom w:w="0" w:type="dxa"/>
            </w:tcMar>
            <w:vAlign w:val="center"/>
          </w:tcPr>
          <w:p w:rsidR="00526B0C" w:rsidRDefault="00950DA0">
            <w:pPr>
              <w:keepNext/>
              <w:keepLines/>
              <w:spacing w:after="0" w:line="240" w:lineRule="auto"/>
              <w:jc w:val="right"/>
            </w:pPr>
            <w:r>
              <w:rPr>
                <w:sz w:val="18"/>
              </w:rPr>
              <w:t>260,4</w:t>
            </w:r>
          </w:p>
        </w:tc>
      </w:tr>
      <w:tr w:rsidR="00526B0C">
        <w:trPr>
          <w:cantSplit/>
          <w:trHeight w:val="560"/>
        </w:trPr>
        <w:tc>
          <w:tcPr>
            <w:tcW w:w="700" w:type="dxa"/>
            <w:tcMar>
              <w:top w:w="0" w:type="dxa"/>
              <w:bottom w:w="0" w:type="dxa"/>
            </w:tcMar>
            <w:vAlign w:val="center"/>
          </w:tcPr>
          <w:p w:rsidR="00526B0C" w:rsidRDefault="00526B0C">
            <w:pPr>
              <w:keepNext/>
              <w:keepLines/>
              <w:spacing w:after="0" w:line="240" w:lineRule="auto"/>
            </w:pPr>
          </w:p>
        </w:tc>
        <w:tc>
          <w:tcPr>
            <w:tcW w:w="3180" w:type="dxa"/>
            <w:tcMar>
              <w:top w:w="0" w:type="dxa"/>
              <w:bottom w:w="0" w:type="dxa"/>
            </w:tcMar>
            <w:vAlign w:val="center"/>
          </w:tcPr>
          <w:p w:rsidR="00526B0C" w:rsidRDefault="00950DA0">
            <w:pPr>
              <w:keepNext/>
              <w:keepLines/>
              <w:spacing w:after="0" w:line="240" w:lineRule="auto"/>
            </w:pPr>
            <w:r>
              <w:rPr>
                <w:b/>
                <w:sz w:val="18"/>
              </w:rPr>
              <w:t>MANJAK PRIHODA OD NEFINANCIJSKE IMOVINE (šifre 4-7)</w:t>
            </w:r>
          </w:p>
        </w:tc>
        <w:tc>
          <w:tcPr>
            <w:tcW w:w="700" w:type="dxa"/>
            <w:tcMar>
              <w:top w:w="0" w:type="dxa"/>
              <w:bottom w:w="0" w:type="dxa"/>
            </w:tcMar>
            <w:vAlign w:val="center"/>
          </w:tcPr>
          <w:p w:rsidR="00526B0C" w:rsidRDefault="00950DA0">
            <w:pPr>
              <w:keepNext/>
              <w:keepLines/>
              <w:spacing w:after="0" w:line="240" w:lineRule="auto"/>
            </w:pPr>
            <w:r>
              <w:rPr>
                <w:b/>
                <w:sz w:val="18"/>
              </w:rPr>
              <w:t>Y002</w:t>
            </w:r>
          </w:p>
        </w:tc>
        <w:tc>
          <w:tcPr>
            <w:tcW w:w="1860" w:type="dxa"/>
            <w:tcMar>
              <w:top w:w="0" w:type="dxa"/>
              <w:bottom w:w="0" w:type="dxa"/>
            </w:tcMar>
            <w:vAlign w:val="center"/>
          </w:tcPr>
          <w:p w:rsidR="00526B0C" w:rsidRDefault="00950DA0">
            <w:pPr>
              <w:keepNext/>
              <w:keepLines/>
              <w:spacing w:after="0" w:line="240" w:lineRule="auto"/>
              <w:jc w:val="right"/>
            </w:pPr>
            <w:r>
              <w:rPr>
                <w:b/>
                <w:sz w:val="18"/>
              </w:rPr>
              <w:t>8.344.983,38</w:t>
            </w:r>
          </w:p>
        </w:tc>
        <w:tc>
          <w:tcPr>
            <w:tcW w:w="1860" w:type="dxa"/>
            <w:tcMar>
              <w:top w:w="0" w:type="dxa"/>
              <w:bottom w:w="0" w:type="dxa"/>
            </w:tcMar>
            <w:vAlign w:val="center"/>
          </w:tcPr>
          <w:p w:rsidR="00526B0C" w:rsidRDefault="00950DA0">
            <w:pPr>
              <w:keepNext/>
              <w:keepLines/>
              <w:spacing w:after="0" w:line="240" w:lineRule="auto"/>
              <w:jc w:val="right"/>
            </w:pPr>
            <w:r>
              <w:rPr>
                <w:b/>
                <w:sz w:val="18"/>
              </w:rPr>
              <w:t>21.791.748,77</w:t>
            </w:r>
          </w:p>
        </w:tc>
        <w:tc>
          <w:tcPr>
            <w:tcW w:w="700" w:type="dxa"/>
            <w:tcMar>
              <w:top w:w="0" w:type="dxa"/>
              <w:bottom w:w="0" w:type="dxa"/>
            </w:tcMar>
            <w:vAlign w:val="center"/>
          </w:tcPr>
          <w:p w:rsidR="00526B0C" w:rsidRDefault="00950DA0">
            <w:pPr>
              <w:keepNext/>
              <w:keepLines/>
              <w:spacing w:after="0" w:line="240" w:lineRule="auto"/>
              <w:jc w:val="right"/>
            </w:pPr>
            <w:r>
              <w:rPr>
                <w:b/>
                <w:sz w:val="18"/>
              </w:rPr>
              <w:t>261,1</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8</w:t>
            </w:r>
          </w:p>
        </w:tc>
        <w:tc>
          <w:tcPr>
            <w:tcW w:w="3180" w:type="dxa"/>
            <w:tcMar>
              <w:top w:w="0" w:type="dxa"/>
              <w:bottom w:w="0" w:type="dxa"/>
            </w:tcMar>
            <w:vAlign w:val="center"/>
          </w:tcPr>
          <w:p w:rsidR="00526B0C" w:rsidRDefault="00950DA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526B0C" w:rsidRDefault="00950DA0">
            <w:pPr>
              <w:keepNext/>
              <w:keepLines/>
              <w:spacing w:after="0" w:line="240" w:lineRule="auto"/>
            </w:pPr>
            <w:r>
              <w:rPr>
                <w:sz w:val="18"/>
              </w:rPr>
              <w:t>8</w:t>
            </w:r>
          </w:p>
        </w:tc>
        <w:tc>
          <w:tcPr>
            <w:tcW w:w="1860" w:type="dxa"/>
            <w:tcMar>
              <w:top w:w="0" w:type="dxa"/>
              <w:bottom w:w="0" w:type="dxa"/>
            </w:tcMar>
            <w:vAlign w:val="center"/>
          </w:tcPr>
          <w:p w:rsidR="00526B0C" w:rsidRDefault="00950DA0">
            <w:pPr>
              <w:keepNext/>
              <w:keepLines/>
              <w:spacing w:after="0" w:line="240" w:lineRule="auto"/>
              <w:jc w:val="right"/>
            </w:pPr>
            <w:r>
              <w:rPr>
                <w:sz w:val="18"/>
              </w:rPr>
              <w:t>1.886.748,94</w:t>
            </w:r>
          </w:p>
        </w:tc>
        <w:tc>
          <w:tcPr>
            <w:tcW w:w="1860" w:type="dxa"/>
            <w:tcMar>
              <w:top w:w="0" w:type="dxa"/>
              <w:bottom w:w="0" w:type="dxa"/>
            </w:tcMar>
            <w:vAlign w:val="center"/>
          </w:tcPr>
          <w:p w:rsidR="00526B0C" w:rsidRDefault="00950DA0">
            <w:pPr>
              <w:keepNext/>
              <w:keepLines/>
              <w:spacing w:after="0" w:line="240" w:lineRule="auto"/>
              <w:jc w:val="right"/>
            </w:pPr>
            <w:r>
              <w:rPr>
                <w:sz w:val="18"/>
              </w:rPr>
              <w:t>3.102.499,51</w:t>
            </w:r>
          </w:p>
        </w:tc>
        <w:tc>
          <w:tcPr>
            <w:tcW w:w="700" w:type="dxa"/>
            <w:tcMar>
              <w:top w:w="0" w:type="dxa"/>
              <w:bottom w:w="0" w:type="dxa"/>
            </w:tcMar>
            <w:vAlign w:val="center"/>
          </w:tcPr>
          <w:p w:rsidR="00526B0C" w:rsidRDefault="00950DA0">
            <w:pPr>
              <w:keepNext/>
              <w:keepLines/>
              <w:spacing w:after="0" w:line="240" w:lineRule="auto"/>
              <w:jc w:val="right"/>
            </w:pPr>
            <w:r>
              <w:rPr>
                <w:sz w:val="18"/>
              </w:rPr>
              <w:t>164,4</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5</w:t>
            </w:r>
          </w:p>
        </w:tc>
        <w:tc>
          <w:tcPr>
            <w:tcW w:w="3180" w:type="dxa"/>
            <w:tcMar>
              <w:top w:w="0" w:type="dxa"/>
              <w:bottom w:w="0" w:type="dxa"/>
            </w:tcMar>
            <w:vAlign w:val="center"/>
          </w:tcPr>
          <w:p w:rsidR="00526B0C" w:rsidRDefault="00950DA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526B0C" w:rsidRDefault="00950DA0">
            <w:pPr>
              <w:keepNext/>
              <w:keepLines/>
              <w:spacing w:after="0" w:line="240" w:lineRule="auto"/>
            </w:pPr>
            <w:r>
              <w:rPr>
                <w:sz w:val="18"/>
              </w:rPr>
              <w:t>5</w:t>
            </w:r>
          </w:p>
        </w:tc>
        <w:tc>
          <w:tcPr>
            <w:tcW w:w="1860" w:type="dxa"/>
            <w:tcMar>
              <w:top w:w="0" w:type="dxa"/>
              <w:bottom w:w="0" w:type="dxa"/>
            </w:tcMar>
            <w:vAlign w:val="center"/>
          </w:tcPr>
          <w:p w:rsidR="00526B0C" w:rsidRDefault="00950DA0">
            <w:pPr>
              <w:keepNext/>
              <w:keepLines/>
              <w:spacing w:after="0" w:line="240" w:lineRule="auto"/>
              <w:jc w:val="right"/>
            </w:pPr>
            <w:r>
              <w:rPr>
                <w:sz w:val="18"/>
              </w:rPr>
              <w:t>2.288.020,12</w:t>
            </w:r>
          </w:p>
        </w:tc>
        <w:tc>
          <w:tcPr>
            <w:tcW w:w="1860" w:type="dxa"/>
            <w:tcMar>
              <w:top w:w="0" w:type="dxa"/>
              <w:bottom w:w="0" w:type="dxa"/>
            </w:tcMar>
            <w:vAlign w:val="center"/>
          </w:tcPr>
          <w:p w:rsidR="00526B0C" w:rsidRDefault="00950DA0">
            <w:pPr>
              <w:keepNext/>
              <w:keepLines/>
              <w:spacing w:after="0" w:line="240" w:lineRule="auto"/>
              <w:jc w:val="right"/>
            </w:pPr>
            <w:r>
              <w:rPr>
                <w:sz w:val="18"/>
              </w:rPr>
              <w:t>527.528,48</w:t>
            </w:r>
          </w:p>
        </w:tc>
        <w:tc>
          <w:tcPr>
            <w:tcW w:w="700" w:type="dxa"/>
            <w:tcMar>
              <w:top w:w="0" w:type="dxa"/>
              <w:bottom w:w="0" w:type="dxa"/>
            </w:tcMar>
            <w:vAlign w:val="center"/>
          </w:tcPr>
          <w:p w:rsidR="00526B0C" w:rsidRDefault="00950DA0">
            <w:pPr>
              <w:keepNext/>
              <w:keepLines/>
              <w:spacing w:after="0" w:line="240" w:lineRule="auto"/>
              <w:jc w:val="right"/>
            </w:pPr>
            <w:r>
              <w:rPr>
                <w:sz w:val="18"/>
              </w:rPr>
              <w:t>23,1</w:t>
            </w:r>
          </w:p>
        </w:tc>
      </w:tr>
      <w:tr w:rsidR="00526B0C">
        <w:trPr>
          <w:cantSplit/>
          <w:trHeight w:val="560"/>
        </w:trPr>
        <w:tc>
          <w:tcPr>
            <w:tcW w:w="700" w:type="dxa"/>
            <w:tcMar>
              <w:top w:w="0" w:type="dxa"/>
              <w:bottom w:w="0" w:type="dxa"/>
            </w:tcMar>
            <w:vAlign w:val="center"/>
          </w:tcPr>
          <w:p w:rsidR="00526B0C" w:rsidRDefault="00526B0C">
            <w:pPr>
              <w:keepNext/>
              <w:keepLines/>
              <w:spacing w:after="0" w:line="240" w:lineRule="auto"/>
            </w:pPr>
          </w:p>
        </w:tc>
        <w:tc>
          <w:tcPr>
            <w:tcW w:w="3180" w:type="dxa"/>
            <w:tcMar>
              <w:top w:w="0" w:type="dxa"/>
              <w:bottom w:w="0" w:type="dxa"/>
            </w:tcMar>
            <w:vAlign w:val="center"/>
          </w:tcPr>
          <w:p w:rsidR="00526B0C" w:rsidRDefault="00950DA0">
            <w:pPr>
              <w:keepNext/>
              <w:keepLines/>
              <w:spacing w:after="0" w:line="240" w:lineRule="auto"/>
            </w:pPr>
            <w:r>
              <w:rPr>
                <w:b/>
                <w:sz w:val="18"/>
              </w:rPr>
              <w:t>VIŠAK PRIMITAKA OD FINANCIJSKE IMOVINE I ZADUŽIVANJA (šifre 8-5)</w:t>
            </w:r>
          </w:p>
        </w:tc>
        <w:tc>
          <w:tcPr>
            <w:tcW w:w="700" w:type="dxa"/>
            <w:tcMar>
              <w:top w:w="0" w:type="dxa"/>
              <w:bottom w:w="0" w:type="dxa"/>
            </w:tcMar>
            <w:vAlign w:val="center"/>
          </w:tcPr>
          <w:p w:rsidR="00526B0C" w:rsidRDefault="00950DA0">
            <w:pPr>
              <w:keepNext/>
              <w:keepLines/>
              <w:spacing w:after="0" w:line="240" w:lineRule="auto"/>
            </w:pPr>
            <w:r>
              <w:rPr>
                <w:b/>
                <w:sz w:val="18"/>
              </w:rPr>
              <w:t>X003</w:t>
            </w:r>
          </w:p>
        </w:tc>
        <w:tc>
          <w:tcPr>
            <w:tcW w:w="1860" w:type="dxa"/>
            <w:tcMar>
              <w:top w:w="0" w:type="dxa"/>
              <w:bottom w:w="0" w:type="dxa"/>
            </w:tcMar>
            <w:vAlign w:val="center"/>
          </w:tcPr>
          <w:p w:rsidR="00526B0C" w:rsidRDefault="00950DA0">
            <w:pPr>
              <w:keepNext/>
              <w:keepLines/>
              <w:spacing w:after="0" w:line="240" w:lineRule="auto"/>
              <w:jc w:val="right"/>
            </w:pPr>
            <w:r>
              <w:rPr>
                <w:b/>
                <w:sz w:val="18"/>
              </w:rPr>
              <w:t>0,00</w:t>
            </w:r>
          </w:p>
        </w:tc>
        <w:tc>
          <w:tcPr>
            <w:tcW w:w="1860" w:type="dxa"/>
            <w:tcMar>
              <w:top w:w="0" w:type="dxa"/>
              <w:bottom w:w="0" w:type="dxa"/>
            </w:tcMar>
            <w:vAlign w:val="center"/>
          </w:tcPr>
          <w:p w:rsidR="00526B0C" w:rsidRDefault="00950DA0">
            <w:pPr>
              <w:keepNext/>
              <w:keepLines/>
              <w:spacing w:after="0" w:line="240" w:lineRule="auto"/>
              <w:jc w:val="right"/>
            </w:pPr>
            <w:r>
              <w:rPr>
                <w:b/>
                <w:sz w:val="18"/>
              </w:rPr>
              <w:t>2.574.971,03</w:t>
            </w:r>
          </w:p>
        </w:tc>
        <w:tc>
          <w:tcPr>
            <w:tcW w:w="700" w:type="dxa"/>
            <w:tcMar>
              <w:top w:w="0" w:type="dxa"/>
              <w:bottom w:w="0" w:type="dxa"/>
            </w:tcMar>
            <w:vAlign w:val="center"/>
          </w:tcPr>
          <w:p w:rsidR="00526B0C" w:rsidRDefault="00950DA0">
            <w:pPr>
              <w:keepNext/>
              <w:keepLines/>
              <w:spacing w:after="0" w:line="240" w:lineRule="auto"/>
              <w:jc w:val="right"/>
            </w:pPr>
            <w:r>
              <w:rPr>
                <w:b/>
                <w:sz w:val="18"/>
              </w:rPr>
              <w:t>-</w:t>
            </w:r>
          </w:p>
        </w:tc>
      </w:tr>
      <w:tr w:rsidR="00526B0C">
        <w:trPr>
          <w:cantSplit/>
          <w:trHeight w:val="560"/>
        </w:trPr>
        <w:tc>
          <w:tcPr>
            <w:tcW w:w="700" w:type="dxa"/>
            <w:tcMar>
              <w:top w:w="0" w:type="dxa"/>
              <w:bottom w:w="0" w:type="dxa"/>
            </w:tcMar>
            <w:vAlign w:val="center"/>
          </w:tcPr>
          <w:p w:rsidR="00526B0C" w:rsidRDefault="00526B0C">
            <w:pPr>
              <w:keepNext/>
              <w:keepLines/>
              <w:spacing w:after="0" w:line="240" w:lineRule="auto"/>
            </w:pPr>
          </w:p>
        </w:tc>
        <w:tc>
          <w:tcPr>
            <w:tcW w:w="3180" w:type="dxa"/>
            <w:tcMar>
              <w:top w:w="0" w:type="dxa"/>
              <w:bottom w:w="0" w:type="dxa"/>
            </w:tcMar>
            <w:vAlign w:val="center"/>
          </w:tcPr>
          <w:p w:rsidR="00526B0C" w:rsidRDefault="00950DA0">
            <w:pPr>
              <w:keepNext/>
              <w:keepLines/>
              <w:spacing w:after="0" w:line="240" w:lineRule="auto"/>
            </w:pPr>
            <w:r>
              <w:rPr>
                <w:b/>
                <w:sz w:val="18"/>
              </w:rPr>
              <w:t>VIŠAK PRIHODA I PRIMITAKA (šifre X678-Y345)</w:t>
            </w:r>
          </w:p>
        </w:tc>
        <w:tc>
          <w:tcPr>
            <w:tcW w:w="700" w:type="dxa"/>
            <w:tcMar>
              <w:top w:w="0" w:type="dxa"/>
              <w:bottom w:w="0" w:type="dxa"/>
            </w:tcMar>
            <w:vAlign w:val="center"/>
          </w:tcPr>
          <w:p w:rsidR="00526B0C" w:rsidRDefault="00950DA0">
            <w:pPr>
              <w:keepNext/>
              <w:keepLines/>
              <w:spacing w:after="0" w:line="240" w:lineRule="auto"/>
            </w:pPr>
            <w:r>
              <w:rPr>
                <w:b/>
                <w:sz w:val="18"/>
              </w:rPr>
              <w:t>X005</w:t>
            </w:r>
          </w:p>
        </w:tc>
        <w:tc>
          <w:tcPr>
            <w:tcW w:w="1860" w:type="dxa"/>
            <w:tcMar>
              <w:top w:w="0" w:type="dxa"/>
              <w:bottom w:w="0" w:type="dxa"/>
            </w:tcMar>
            <w:vAlign w:val="center"/>
          </w:tcPr>
          <w:p w:rsidR="00526B0C" w:rsidRDefault="00950DA0">
            <w:pPr>
              <w:keepNext/>
              <w:keepLines/>
              <w:spacing w:after="0" w:line="240" w:lineRule="auto"/>
              <w:jc w:val="right"/>
            </w:pPr>
            <w:r>
              <w:rPr>
                <w:b/>
                <w:sz w:val="18"/>
              </w:rPr>
              <w:t>0,00</w:t>
            </w:r>
          </w:p>
        </w:tc>
        <w:tc>
          <w:tcPr>
            <w:tcW w:w="1860" w:type="dxa"/>
            <w:tcMar>
              <w:top w:w="0" w:type="dxa"/>
              <w:bottom w:w="0" w:type="dxa"/>
            </w:tcMar>
            <w:vAlign w:val="center"/>
          </w:tcPr>
          <w:p w:rsidR="00526B0C" w:rsidRDefault="00950DA0">
            <w:pPr>
              <w:keepNext/>
              <w:keepLines/>
              <w:spacing w:after="0" w:line="240" w:lineRule="auto"/>
              <w:jc w:val="right"/>
            </w:pPr>
            <w:r>
              <w:rPr>
                <w:b/>
                <w:sz w:val="18"/>
              </w:rPr>
              <w:t>909.187,15</w:t>
            </w:r>
          </w:p>
        </w:tc>
        <w:tc>
          <w:tcPr>
            <w:tcW w:w="700" w:type="dxa"/>
            <w:tcMar>
              <w:top w:w="0" w:type="dxa"/>
              <w:bottom w:w="0" w:type="dxa"/>
            </w:tcMar>
            <w:vAlign w:val="center"/>
          </w:tcPr>
          <w:p w:rsidR="00526B0C" w:rsidRDefault="00950DA0">
            <w:pPr>
              <w:keepNext/>
              <w:keepLines/>
              <w:spacing w:after="0" w:line="240" w:lineRule="auto"/>
              <w:jc w:val="right"/>
            </w:pPr>
            <w:r>
              <w:rPr>
                <w:b/>
                <w:sz w:val="18"/>
              </w:rPr>
              <w:t>-</w:t>
            </w:r>
          </w:p>
        </w:tc>
      </w:tr>
    </w:tbl>
    <w:p w:rsidR="00526B0C" w:rsidRDefault="00526B0C">
      <w:pPr>
        <w:spacing w:after="0"/>
      </w:pPr>
    </w:p>
    <w:p w:rsidR="00526B0C" w:rsidRDefault="00950DA0">
      <w:pPr>
        <w:jc w:val="both"/>
      </w:pPr>
      <w:r>
        <w:t>Prihodi poslovanja u razdoblju od 01. siječnja do 30. lipnja 2026. godine iznose 166.823.725,00 eura, što je za 11,8% više u odnosu na isto razdoblje prethodne godine kada su iznosili 149.198.121,79 eura. Rashodi poslovanja u izvještajnom razdoblju ostvareni su, s druge strane, s rastom od 1,8% odnosno u iznosu od 146.693.645,81 eura, dok su u istom razdoblju prethodne godine iznosili 144.142.321,60 eura. Navedeno je rezultiralo povećanjem viška prihoda poslovanja za 298,2% u odnosu na prethodno izvještajno razdoblje (šifra X001).  </w:t>
      </w:r>
    </w:p>
    <w:p w:rsidR="00950DA0" w:rsidRDefault="00950DA0">
      <w:pPr>
        <w:jc w:val="both"/>
      </w:pPr>
      <w:r>
        <w:lastRenderedPageBreak/>
        <w:t> Prihodi od prodaje nefinancijske imovine u izvještajnom razdoblju tekuće godine iznose 118.354,97 eura, a u istom razdoblju prethodne godine ostvareni su u iznosu 69.660,87 eura, što predstavlja povećanje od 69,9%. Dok su rashodi za nabavu nefinancijske imovine u 2026. godini ostvareni u iznosu od 21.910.103,74 eura, što je za 160,4% više u odnosu na izvještajno razdoblje prethodne godine kada su iznosili 8.414.644,25 eura. Slijedom navedenog, manjak prihoda od nefinancijske imovine tekuće godine veći je za 161,12% u odnosu na ostvarenje u istom razdoblju prethodne godine (šifra Y002).</w:t>
      </w:r>
    </w:p>
    <w:p w:rsidR="00526B0C" w:rsidRDefault="00950DA0">
      <w:pPr>
        <w:jc w:val="both"/>
      </w:pPr>
      <w:r>
        <w:t> </w:t>
      </w:r>
      <w:r>
        <w:br/>
        <w:t>Primici od financijske imovine i zaduživanja u izvještajnom razdoblju 2026. godine iznose 3.102.499,51 eura, a u istom razdoblju prethodne godine ostvareni su u iznosu 1.886.748,94 eura. S druge strane, izdaci za financijsku imovinu i otplate zajmova u izvještajnom razdoblju tekuće godine iznose 527.528,48 eura i manji su za 76,9% u odnosu na izdatke ostvarene prethodne godine, stoga je u izvještajnom razdoblju tekuće godine ostvaren višak primitaka od financijske imovine i zaduživanja u iznosu od 2.574.971,03 eura (šifra Y003).</w:t>
      </w:r>
      <w:r>
        <w:br/>
        <w:t> </w:t>
      </w:r>
      <w:r>
        <w:br/>
        <w:t>Sve navedeno je rezultiralo povećanjem rezultata poslovanja u izvještajnom razdoblju tekuće godine u odnosu na prethodnu godinu, sa manjka prihoda i primitaka u iznosu od 3.691.589,64 eura (šifra Y005) u prethodnom izvještajnom razdoblju, na višak prihoda i primitaka u iznosu od 909.187,15 eura (šifra X005).</w:t>
      </w:r>
    </w:p>
    <w:p w:rsidR="00526B0C" w:rsidRDefault="00950DA0">
      <w:r>
        <w:br/>
      </w:r>
    </w:p>
    <w:p w:rsidR="00526B0C" w:rsidRDefault="00950DA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611</w:t>
            </w:r>
          </w:p>
        </w:tc>
        <w:tc>
          <w:tcPr>
            <w:tcW w:w="3180" w:type="dxa"/>
            <w:tcMar>
              <w:top w:w="0" w:type="dxa"/>
              <w:bottom w:w="0" w:type="dxa"/>
            </w:tcMar>
            <w:vAlign w:val="center"/>
          </w:tcPr>
          <w:p w:rsidR="00526B0C" w:rsidRDefault="00950DA0">
            <w:pPr>
              <w:keepNext/>
              <w:keepLines/>
              <w:spacing w:after="0" w:line="240" w:lineRule="auto"/>
            </w:pPr>
            <w:r>
              <w:rPr>
                <w:sz w:val="18"/>
              </w:rPr>
              <w:t>Porez na dohodak (šifre 6111 do 6116 - 6117 - 6119)</w:t>
            </w:r>
          </w:p>
        </w:tc>
        <w:tc>
          <w:tcPr>
            <w:tcW w:w="700" w:type="dxa"/>
            <w:tcMar>
              <w:top w:w="0" w:type="dxa"/>
              <w:bottom w:w="0" w:type="dxa"/>
            </w:tcMar>
            <w:vAlign w:val="center"/>
          </w:tcPr>
          <w:p w:rsidR="00526B0C" w:rsidRDefault="00950DA0">
            <w:pPr>
              <w:keepNext/>
              <w:keepLines/>
              <w:spacing w:after="0" w:line="240" w:lineRule="auto"/>
            </w:pPr>
            <w:r>
              <w:rPr>
                <w:sz w:val="18"/>
              </w:rPr>
              <w:t>611</w:t>
            </w:r>
          </w:p>
        </w:tc>
        <w:tc>
          <w:tcPr>
            <w:tcW w:w="1860" w:type="dxa"/>
            <w:tcMar>
              <w:top w:w="0" w:type="dxa"/>
              <w:bottom w:w="0" w:type="dxa"/>
            </w:tcMar>
            <w:vAlign w:val="center"/>
          </w:tcPr>
          <w:p w:rsidR="00526B0C" w:rsidRDefault="00950DA0">
            <w:pPr>
              <w:keepNext/>
              <w:keepLines/>
              <w:spacing w:after="0" w:line="240" w:lineRule="auto"/>
              <w:jc w:val="right"/>
            </w:pPr>
            <w:r>
              <w:rPr>
                <w:sz w:val="18"/>
              </w:rPr>
              <w:t>31.917.779,64</w:t>
            </w:r>
          </w:p>
        </w:tc>
        <w:tc>
          <w:tcPr>
            <w:tcW w:w="1860" w:type="dxa"/>
            <w:tcMar>
              <w:top w:w="0" w:type="dxa"/>
              <w:bottom w:w="0" w:type="dxa"/>
            </w:tcMar>
            <w:vAlign w:val="center"/>
          </w:tcPr>
          <w:p w:rsidR="00526B0C" w:rsidRDefault="00950DA0">
            <w:pPr>
              <w:keepNext/>
              <w:keepLines/>
              <w:spacing w:after="0" w:line="240" w:lineRule="auto"/>
              <w:jc w:val="right"/>
            </w:pPr>
            <w:r>
              <w:rPr>
                <w:sz w:val="18"/>
              </w:rPr>
              <w:t>36.505.778,38</w:t>
            </w:r>
          </w:p>
        </w:tc>
        <w:tc>
          <w:tcPr>
            <w:tcW w:w="700" w:type="dxa"/>
            <w:tcMar>
              <w:top w:w="0" w:type="dxa"/>
              <w:bottom w:w="0" w:type="dxa"/>
            </w:tcMar>
            <w:vAlign w:val="center"/>
          </w:tcPr>
          <w:p w:rsidR="00526B0C" w:rsidRDefault="00950DA0">
            <w:pPr>
              <w:keepNext/>
              <w:keepLines/>
              <w:spacing w:after="0" w:line="240" w:lineRule="auto"/>
              <w:jc w:val="right"/>
            </w:pPr>
            <w:r>
              <w:rPr>
                <w:sz w:val="18"/>
              </w:rPr>
              <w:t>114,4</w:t>
            </w:r>
          </w:p>
        </w:tc>
      </w:tr>
    </w:tbl>
    <w:p w:rsidR="00526B0C" w:rsidRDefault="00526B0C">
      <w:pPr>
        <w:spacing w:after="0"/>
      </w:pPr>
    </w:p>
    <w:p w:rsidR="00526B0C" w:rsidRDefault="00950DA0">
      <w:pPr>
        <w:jc w:val="both"/>
      </w:pPr>
      <w:r>
        <w:t>Porez na dohodak je prihod Primorsko-goranske županije, a povećanje naplate poreza na dohodak u prvoj polovici 2026. godine nastavak je trenda iz prethodnih godina, što je posljedica gospodarskog rasta i povećanja zaposlenosti, odnosno inflatornih pritisaka na rast plaća.</w:t>
      </w:r>
    </w:p>
    <w:p w:rsidR="00526B0C" w:rsidRDefault="00526B0C"/>
    <w:p w:rsidR="00526B0C" w:rsidRDefault="00950DA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6131</w:t>
            </w:r>
          </w:p>
        </w:tc>
        <w:tc>
          <w:tcPr>
            <w:tcW w:w="3180" w:type="dxa"/>
            <w:tcMar>
              <w:top w:w="0" w:type="dxa"/>
              <w:bottom w:w="0" w:type="dxa"/>
            </w:tcMar>
            <w:vAlign w:val="center"/>
          </w:tcPr>
          <w:p w:rsidR="00526B0C" w:rsidRDefault="00950DA0">
            <w:pPr>
              <w:keepNext/>
              <w:keepLines/>
              <w:spacing w:after="0" w:line="240" w:lineRule="auto"/>
            </w:pPr>
            <w:r>
              <w:rPr>
                <w:sz w:val="18"/>
              </w:rPr>
              <w:t>Stalni porezi na nepokretnu imovinu (zemlju, zgrade, kuće i ostalo)</w:t>
            </w:r>
          </w:p>
        </w:tc>
        <w:tc>
          <w:tcPr>
            <w:tcW w:w="700" w:type="dxa"/>
            <w:tcMar>
              <w:top w:w="0" w:type="dxa"/>
              <w:bottom w:w="0" w:type="dxa"/>
            </w:tcMar>
            <w:vAlign w:val="center"/>
          </w:tcPr>
          <w:p w:rsidR="00526B0C" w:rsidRDefault="00950DA0">
            <w:pPr>
              <w:keepNext/>
              <w:keepLines/>
              <w:spacing w:after="0" w:line="240" w:lineRule="auto"/>
            </w:pPr>
            <w:r>
              <w:rPr>
                <w:sz w:val="18"/>
              </w:rPr>
              <w:t>6131</w:t>
            </w:r>
          </w:p>
        </w:tc>
        <w:tc>
          <w:tcPr>
            <w:tcW w:w="1860" w:type="dxa"/>
            <w:tcMar>
              <w:top w:w="0" w:type="dxa"/>
              <w:bottom w:w="0" w:type="dxa"/>
            </w:tcMar>
            <w:vAlign w:val="center"/>
          </w:tcPr>
          <w:p w:rsidR="00526B0C" w:rsidRDefault="00950DA0">
            <w:pPr>
              <w:keepNext/>
              <w:keepLines/>
              <w:spacing w:after="0" w:line="240" w:lineRule="auto"/>
              <w:jc w:val="right"/>
            </w:pPr>
            <w:r>
              <w:rPr>
                <w:sz w:val="18"/>
              </w:rPr>
              <w:t>27.011,14</w:t>
            </w:r>
          </w:p>
        </w:tc>
        <w:tc>
          <w:tcPr>
            <w:tcW w:w="1860" w:type="dxa"/>
            <w:tcMar>
              <w:top w:w="0" w:type="dxa"/>
              <w:bottom w:w="0" w:type="dxa"/>
            </w:tcMar>
            <w:vAlign w:val="center"/>
          </w:tcPr>
          <w:p w:rsidR="00526B0C" w:rsidRDefault="00950DA0">
            <w:pPr>
              <w:keepNext/>
              <w:keepLines/>
              <w:spacing w:after="0" w:line="240" w:lineRule="auto"/>
              <w:jc w:val="right"/>
            </w:pPr>
            <w:r>
              <w:rPr>
                <w:sz w:val="18"/>
              </w:rPr>
              <w:t>1.116.447,15</w:t>
            </w:r>
          </w:p>
        </w:tc>
        <w:tc>
          <w:tcPr>
            <w:tcW w:w="700" w:type="dxa"/>
            <w:tcMar>
              <w:top w:w="0" w:type="dxa"/>
              <w:bottom w:w="0" w:type="dxa"/>
            </w:tcMar>
            <w:vAlign w:val="center"/>
          </w:tcPr>
          <w:p w:rsidR="00526B0C" w:rsidRDefault="00950DA0">
            <w:pPr>
              <w:keepNext/>
              <w:keepLines/>
              <w:spacing w:after="0" w:line="240" w:lineRule="auto"/>
              <w:jc w:val="right"/>
            </w:pPr>
            <w:r>
              <w:rPr>
                <w:sz w:val="18"/>
              </w:rPr>
              <w:t>4133,3</w:t>
            </w:r>
          </w:p>
        </w:tc>
      </w:tr>
    </w:tbl>
    <w:p w:rsidR="00526B0C" w:rsidRDefault="00526B0C">
      <w:pPr>
        <w:spacing w:after="0"/>
      </w:pPr>
    </w:p>
    <w:p w:rsidR="00526B0C" w:rsidRDefault="00950DA0">
      <w:pPr>
        <w:jc w:val="both"/>
      </w:pPr>
      <w:r>
        <w:t xml:space="preserve">Predmetni je prihod Županije ostvaren od poreza na nekretnine, koji se utvrđuje temeljem Zakona o lokalnim porezima („Narodne novine“ broj 115/2016, 101/2017, 114/2022, 114/2023 i 152/2024)  te odlukama o gradskim i općinskim porezima, a uveden je 1. siječnja 2025. godine kao zamjena za porez na kuće za odmor. Sukladno članku 28. navedenog Zakona sredstva ostvarena od poreza na nekretnine prihod su jedinica lokalne samouprave 80% i 20% jedinica </w:t>
      </w:r>
      <w:r>
        <w:lastRenderedPageBreak/>
        <w:t>područne (regionalne) samouprave, na čijem se području nekretnina nalazi, dok su sredstva ostvarena od poreza na kuće za odmor u cijelosti bila prihod jedinica lokalne samouprave na čijem se području nekretnina nalazi.</w:t>
      </w:r>
    </w:p>
    <w:p w:rsidR="00526B0C" w:rsidRDefault="00526B0C"/>
    <w:p w:rsidR="00526B0C" w:rsidRDefault="00950DA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6311</w:t>
            </w:r>
          </w:p>
        </w:tc>
        <w:tc>
          <w:tcPr>
            <w:tcW w:w="3180" w:type="dxa"/>
            <w:tcMar>
              <w:top w:w="0" w:type="dxa"/>
              <w:bottom w:w="0" w:type="dxa"/>
            </w:tcMar>
            <w:vAlign w:val="center"/>
          </w:tcPr>
          <w:p w:rsidR="00526B0C" w:rsidRDefault="00950DA0">
            <w:pPr>
              <w:keepNext/>
              <w:keepLines/>
              <w:spacing w:after="0" w:line="240" w:lineRule="auto"/>
            </w:pPr>
            <w:r>
              <w:rPr>
                <w:sz w:val="18"/>
              </w:rPr>
              <w:t>Tekuće pomoći od inozemnih vlada</w:t>
            </w:r>
          </w:p>
        </w:tc>
        <w:tc>
          <w:tcPr>
            <w:tcW w:w="700" w:type="dxa"/>
            <w:tcMar>
              <w:top w:w="0" w:type="dxa"/>
              <w:bottom w:w="0" w:type="dxa"/>
            </w:tcMar>
            <w:vAlign w:val="center"/>
          </w:tcPr>
          <w:p w:rsidR="00526B0C" w:rsidRDefault="00950DA0">
            <w:pPr>
              <w:keepNext/>
              <w:keepLines/>
              <w:spacing w:after="0" w:line="240" w:lineRule="auto"/>
            </w:pPr>
            <w:r>
              <w:rPr>
                <w:sz w:val="18"/>
              </w:rPr>
              <w:t>6311</w:t>
            </w:r>
          </w:p>
        </w:tc>
        <w:tc>
          <w:tcPr>
            <w:tcW w:w="1860" w:type="dxa"/>
            <w:tcMar>
              <w:top w:w="0" w:type="dxa"/>
              <w:bottom w:w="0" w:type="dxa"/>
            </w:tcMar>
            <w:vAlign w:val="center"/>
          </w:tcPr>
          <w:p w:rsidR="00526B0C" w:rsidRDefault="00950DA0">
            <w:pPr>
              <w:keepNext/>
              <w:keepLines/>
              <w:spacing w:after="0" w:line="240" w:lineRule="auto"/>
              <w:jc w:val="right"/>
            </w:pPr>
            <w:r>
              <w:rPr>
                <w:sz w:val="18"/>
              </w:rPr>
              <w:t>0,00</w:t>
            </w:r>
          </w:p>
        </w:tc>
        <w:tc>
          <w:tcPr>
            <w:tcW w:w="1860" w:type="dxa"/>
            <w:tcMar>
              <w:top w:w="0" w:type="dxa"/>
              <w:bottom w:w="0" w:type="dxa"/>
            </w:tcMar>
            <w:vAlign w:val="center"/>
          </w:tcPr>
          <w:p w:rsidR="00526B0C" w:rsidRDefault="00950DA0">
            <w:pPr>
              <w:keepNext/>
              <w:keepLines/>
              <w:spacing w:after="0" w:line="240" w:lineRule="auto"/>
              <w:jc w:val="right"/>
            </w:pPr>
            <w:r>
              <w:rPr>
                <w:sz w:val="18"/>
              </w:rPr>
              <w:t>933.406,47</w:t>
            </w:r>
          </w:p>
        </w:tc>
        <w:tc>
          <w:tcPr>
            <w:tcW w:w="700" w:type="dxa"/>
            <w:tcMar>
              <w:top w:w="0" w:type="dxa"/>
              <w:bottom w:w="0" w:type="dxa"/>
            </w:tcMar>
            <w:vAlign w:val="center"/>
          </w:tcPr>
          <w:p w:rsidR="00526B0C" w:rsidRDefault="00950DA0">
            <w:pPr>
              <w:keepNext/>
              <w:keepLines/>
              <w:spacing w:after="0" w:line="240" w:lineRule="auto"/>
              <w:jc w:val="right"/>
            </w:pPr>
            <w:r>
              <w:rPr>
                <w:sz w:val="18"/>
              </w:rPr>
              <w:t>-</w:t>
            </w:r>
          </w:p>
        </w:tc>
      </w:tr>
    </w:tbl>
    <w:p w:rsidR="00526B0C" w:rsidRDefault="00526B0C">
      <w:pPr>
        <w:spacing w:after="0"/>
      </w:pPr>
    </w:p>
    <w:p w:rsidR="00526B0C" w:rsidRDefault="00950DA0">
      <w:pPr>
        <w:jc w:val="both"/>
      </w:pPr>
      <w:r>
        <w:t>Najveće odstupanje navedenih pomoći u 2026. godini je kod Primorsko-goranske županije (2025. godina 0,00 eura – 2026. godina 642.171,78 eura), a  iste su ostvarene za provedbu pet ugovorenih programa i projekata EU, i veće su od prihoda ostvarenog u izvještajnom razdoblju prethodne godine (304.171,99 eura). Međutim, u izvještajnom razdoblju 2025. godine predmetni prihodi od pomoći za provedbu programa i projekata bili su evidentirani na računu 6323 Tekuće pomoći od institucija i tijela EU, dok se, sukladno novoj metodologiji za evidentiranje prihoda EU projekata, tijekom 2026. godine predmetni prihod počeo evidentirati na računu 6311.</w:t>
      </w:r>
    </w:p>
    <w:p w:rsidR="00526B0C" w:rsidRDefault="00526B0C"/>
    <w:p w:rsidR="00526B0C" w:rsidRDefault="00950DA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6331</w:t>
            </w:r>
          </w:p>
        </w:tc>
        <w:tc>
          <w:tcPr>
            <w:tcW w:w="3180" w:type="dxa"/>
            <w:tcMar>
              <w:top w:w="0" w:type="dxa"/>
              <w:bottom w:w="0" w:type="dxa"/>
            </w:tcMar>
            <w:vAlign w:val="center"/>
          </w:tcPr>
          <w:p w:rsidR="00526B0C" w:rsidRDefault="00950DA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rsidR="00526B0C" w:rsidRDefault="00950DA0">
            <w:pPr>
              <w:keepNext/>
              <w:keepLines/>
              <w:spacing w:after="0" w:line="240" w:lineRule="auto"/>
            </w:pPr>
            <w:r>
              <w:rPr>
                <w:sz w:val="18"/>
              </w:rPr>
              <w:t>6331</w:t>
            </w:r>
          </w:p>
        </w:tc>
        <w:tc>
          <w:tcPr>
            <w:tcW w:w="1860" w:type="dxa"/>
            <w:tcMar>
              <w:top w:w="0" w:type="dxa"/>
              <w:bottom w:w="0" w:type="dxa"/>
            </w:tcMar>
            <w:vAlign w:val="center"/>
          </w:tcPr>
          <w:p w:rsidR="00526B0C" w:rsidRDefault="00950DA0">
            <w:pPr>
              <w:keepNext/>
              <w:keepLines/>
              <w:spacing w:after="0" w:line="240" w:lineRule="auto"/>
              <w:jc w:val="right"/>
            </w:pPr>
            <w:r>
              <w:rPr>
                <w:sz w:val="18"/>
              </w:rPr>
              <w:t>3.505.684,16</w:t>
            </w:r>
          </w:p>
        </w:tc>
        <w:tc>
          <w:tcPr>
            <w:tcW w:w="1860" w:type="dxa"/>
            <w:tcMar>
              <w:top w:w="0" w:type="dxa"/>
              <w:bottom w:w="0" w:type="dxa"/>
            </w:tcMar>
            <w:vAlign w:val="center"/>
          </w:tcPr>
          <w:p w:rsidR="00526B0C" w:rsidRDefault="00950DA0">
            <w:pPr>
              <w:keepNext/>
              <w:keepLines/>
              <w:spacing w:after="0" w:line="240" w:lineRule="auto"/>
              <w:jc w:val="right"/>
            </w:pPr>
            <w:r>
              <w:rPr>
                <w:sz w:val="18"/>
              </w:rPr>
              <w:t>4.380.286,11</w:t>
            </w:r>
          </w:p>
        </w:tc>
        <w:tc>
          <w:tcPr>
            <w:tcW w:w="700" w:type="dxa"/>
            <w:tcMar>
              <w:top w:w="0" w:type="dxa"/>
              <w:bottom w:w="0" w:type="dxa"/>
            </w:tcMar>
            <w:vAlign w:val="center"/>
          </w:tcPr>
          <w:p w:rsidR="00526B0C" w:rsidRDefault="00950DA0">
            <w:pPr>
              <w:keepNext/>
              <w:keepLines/>
              <w:spacing w:after="0" w:line="240" w:lineRule="auto"/>
              <w:jc w:val="right"/>
            </w:pPr>
            <w:r>
              <w:rPr>
                <w:sz w:val="18"/>
              </w:rPr>
              <w:t>124,9</w:t>
            </w:r>
          </w:p>
        </w:tc>
      </w:tr>
    </w:tbl>
    <w:p w:rsidR="00526B0C" w:rsidRDefault="00526B0C">
      <w:pPr>
        <w:spacing w:after="0"/>
      </w:pPr>
    </w:p>
    <w:p w:rsidR="00526B0C" w:rsidRDefault="00950DA0">
      <w:pPr>
        <w:jc w:val="both"/>
      </w:pPr>
      <w:r>
        <w:t>Navedeno je prihod Primorsko-goranske županije, a najveći dio povećanja odnosi se na tekuću pomoć iz Državnog proračuna- Ministarstvo mora, prometa i infrastrukture ostvarenu za financiranje besplatnog, javnog otočnog cestovnog prijevoza putnika na području Županije odnosno otoka Krk, Cres, Lošinj i Rab, temeljem Pravilnika o načinu ostvarivanja prava na besplatan javni otočni cestovni prijevoz („Narodne novine“ broj 68/24), na ime kojih je Županiji u izvještajnom razdoblju 2025. godine doznačeno 1.197.666,85 eura, a u izvještajnom razdoblju 2026. godine 2.048.754,49 eura (veza: šifra 3722).</w:t>
      </w:r>
    </w:p>
    <w:p w:rsidR="00526B0C" w:rsidRDefault="00526B0C"/>
    <w:p w:rsidR="00526B0C" w:rsidRDefault="00950DA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635</w:t>
            </w:r>
          </w:p>
        </w:tc>
        <w:tc>
          <w:tcPr>
            <w:tcW w:w="3180" w:type="dxa"/>
            <w:tcMar>
              <w:top w:w="0" w:type="dxa"/>
              <w:bottom w:w="0" w:type="dxa"/>
            </w:tcMar>
            <w:vAlign w:val="center"/>
          </w:tcPr>
          <w:p w:rsidR="00526B0C" w:rsidRDefault="00950DA0">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rsidR="00526B0C" w:rsidRDefault="00950DA0">
            <w:pPr>
              <w:keepNext/>
              <w:keepLines/>
              <w:spacing w:after="0" w:line="240" w:lineRule="auto"/>
            </w:pPr>
            <w:r>
              <w:rPr>
                <w:sz w:val="18"/>
              </w:rPr>
              <w:t>635</w:t>
            </w:r>
          </w:p>
        </w:tc>
        <w:tc>
          <w:tcPr>
            <w:tcW w:w="1860" w:type="dxa"/>
            <w:tcMar>
              <w:top w:w="0" w:type="dxa"/>
              <w:bottom w:w="0" w:type="dxa"/>
            </w:tcMar>
            <w:vAlign w:val="center"/>
          </w:tcPr>
          <w:p w:rsidR="00526B0C" w:rsidRDefault="00950DA0">
            <w:pPr>
              <w:keepNext/>
              <w:keepLines/>
              <w:spacing w:after="0" w:line="240" w:lineRule="auto"/>
              <w:jc w:val="right"/>
            </w:pPr>
            <w:r>
              <w:rPr>
                <w:sz w:val="18"/>
              </w:rPr>
              <w:t>1.622.656,39</w:t>
            </w:r>
          </w:p>
        </w:tc>
        <w:tc>
          <w:tcPr>
            <w:tcW w:w="1860" w:type="dxa"/>
            <w:tcMar>
              <w:top w:w="0" w:type="dxa"/>
              <w:bottom w:w="0" w:type="dxa"/>
            </w:tcMar>
            <w:vAlign w:val="center"/>
          </w:tcPr>
          <w:p w:rsidR="00526B0C" w:rsidRDefault="00950DA0">
            <w:pPr>
              <w:keepNext/>
              <w:keepLines/>
              <w:spacing w:after="0" w:line="240" w:lineRule="auto"/>
              <w:jc w:val="right"/>
            </w:pPr>
            <w:r>
              <w:rPr>
                <w:sz w:val="18"/>
              </w:rPr>
              <w:t>733.787,42</w:t>
            </w:r>
          </w:p>
        </w:tc>
        <w:tc>
          <w:tcPr>
            <w:tcW w:w="700" w:type="dxa"/>
            <w:tcMar>
              <w:top w:w="0" w:type="dxa"/>
              <w:bottom w:w="0" w:type="dxa"/>
            </w:tcMar>
            <w:vAlign w:val="center"/>
          </w:tcPr>
          <w:p w:rsidR="00526B0C" w:rsidRDefault="00950DA0">
            <w:pPr>
              <w:keepNext/>
              <w:keepLines/>
              <w:spacing w:after="0" w:line="240" w:lineRule="auto"/>
              <w:jc w:val="right"/>
            </w:pPr>
            <w:r>
              <w:rPr>
                <w:sz w:val="18"/>
              </w:rPr>
              <w:t>45,2</w:t>
            </w:r>
          </w:p>
        </w:tc>
      </w:tr>
    </w:tbl>
    <w:p w:rsidR="00526B0C" w:rsidRDefault="00526B0C">
      <w:pPr>
        <w:spacing w:after="0"/>
      </w:pPr>
    </w:p>
    <w:p w:rsidR="00526B0C" w:rsidRDefault="00950DA0">
      <w:pPr>
        <w:jc w:val="both"/>
      </w:pPr>
      <w:r>
        <w:lastRenderedPageBreak/>
        <w:t>Navedeno je prihod Županije, a smanjenje ostvarenih tekućih pomoći izravnanja za decentralizirane funkcije u 2026. godini rezultat je značajnijeg povećanja prihoda od poreza na dohodak i minimalnog povećanja bilančnih prava u odnosu na prošlu godinu. Tako su prihodi Županije od pomoći izravnanja za decentralizirane funkcije u izvještajnom razdoblju ostvareni kako slijedi: osnovno školstvo (u 2025. godini ostvareno je 772.038,09 eura, a u 2026. godini 451.698,64 eura), srednje školstvo (u 2025. godini ostvareno je 549.056,08 eura, a u 2026. godini 282.088,78 eura) i zdravstvene ustanove (u 2025. godini ostvareno je 301.562,22 eura, a u 2026. godini 0,00 eura).</w:t>
      </w:r>
    </w:p>
    <w:p w:rsidR="00526B0C" w:rsidRDefault="00526B0C"/>
    <w:p w:rsidR="00526B0C" w:rsidRDefault="00950DA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6361</w:t>
            </w:r>
          </w:p>
        </w:tc>
        <w:tc>
          <w:tcPr>
            <w:tcW w:w="3180" w:type="dxa"/>
            <w:tcMar>
              <w:top w:w="0" w:type="dxa"/>
              <w:bottom w:w="0" w:type="dxa"/>
            </w:tcMar>
            <w:vAlign w:val="center"/>
          </w:tcPr>
          <w:p w:rsidR="00526B0C" w:rsidRDefault="00950DA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rsidR="00526B0C" w:rsidRDefault="00950DA0">
            <w:pPr>
              <w:keepNext/>
              <w:keepLines/>
              <w:spacing w:after="0" w:line="240" w:lineRule="auto"/>
            </w:pPr>
            <w:r>
              <w:rPr>
                <w:sz w:val="18"/>
              </w:rPr>
              <w:t>6361</w:t>
            </w:r>
          </w:p>
        </w:tc>
        <w:tc>
          <w:tcPr>
            <w:tcW w:w="1860" w:type="dxa"/>
            <w:tcMar>
              <w:top w:w="0" w:type="dxa"/>
              <w:bottom w:w="0" w:type="dxa"/>
            </w:tcMar>
            <w:vAlign w:val="center"/>
          </w:tcPr>
          <w:p w:rsidR="00526B0C" w:rsidRDefault="00950DA0">
            <w:pPr>
              <w:keepNext/>
              <w:keepLines/>
              <w:spacing w:after="0" w:line="240" w:lineRule="auto"/>
              <w:jc w:val="right"/>
            </w:pPr>
            <w:r>
              <w:rPr>
                <w:sz w:val="18"/>
              </w:rPr>
              <w:t>50.482.082,45</w:t>
            </w:r>
          </w:p>
        </w:tc>
        <w:tc>
          <w:tcPr>
            <w:tcW w:w="1860" w:type="dxa"/>
            <w:tcMar>
              <w:top w:w="0" w:type="dxa"/>
              <w:bottom w:w="0" w:type="dxa"/>
            </w:tcMar>
            <w:vAlign w:val="center"/>
          </w:tcPr>
          <w:p w:rsidR="00526B0C" w:rsidRDefault="00950DA0">
            <w:pPr>
              <w:keepNext/>
              <w:keepLines/>
              <w:spacing w:after="0" w:line="240" w:lineRule="auto"/>
              <w:jc w:val="right"/>
            </w:pPr>
            <w:r>
              <w:rPr>
                <w:sz w:val="18"/>
              </w:rPr>
              <w:t>53.307.678,27</w:t>
            </w:r>
          </w:p>
        </w:tc>
        <w:tc>
          <w:tcPr>
            <w:tcW w:w="700" w:type="dxa"/>
            <w:tcMar>
              <w:top w:w="0" w:type="dxa"/>
              <w:bottom w:w="0" w:type="dxa"/>
            </w:tcMar>
            <w:vAlign w:val="center"/>
          </w:tcPr>
          <w:p w:rsidR="00526B0C" w:rsidRDefault="00950DA0">
            <w:pPr>
              <w:keepNext/>
              <w:keepLines/>
              <w:spacing w:after="0" w:line="240" w:lineRule="auto"/>
              <w:jc w:val="right"/>
            </w:pPr>
            <w:r>
              <w:rPr>
                <w:sz w:val="18"/>
              </w:rPr>
              <w:t>105,6</w:t>
            </w:r>
          </w:p>
        </w:tc>
      </w:tr>
    </w:tbl>
    <w:p w:rsidR="00526B0C" w:rsidRDefault="00526B0C">
      <w:pPr>
        <w:spacing w:after="0"/>
      </w:pPr>
    </w:p>
    <w:p w:rsidR="00526B0C" w:rsidRDefault="00950DA0">
      <w:pPr>
        <w:jc w:val="both"/>
      </w:pPr>
      <w:r>
        <w:t>Najveće povećanje je kod proračunskih korisnika (ustanove školstva i zdravstva), koji su ostvarili značajno veće prihode iz Državnog proračuna za financiranje plaća za zaposlene kao rezultat povećanja osnovice za obračun plaće u rujnu 2025. godine te siječnju i travnju 2026. godine temeljem Odluke o visini osnovice za obračun plaće u javnim službama u 2025. godini („Narodne novine“ broj 155/24) i Odluke o visini osnovice za obračun plaće zaposlenicima u javnim službama u 2026. godini ("Narodne novine" broj 11/26).</w:t>
      </w:r>
    </w:p>
    <w:p w:rsidR="00526B0C" w:rsidRDefault="00526B0C"/>
    <w:p w:rsidR="00526B0C" w:rsidRDefault="00950DA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638</w:t>
            </w:r>
          </w:p>
        </w:tc>
        <w:tc>
          <w:tcPr>
            <w:tcW w:w="3180" w:type="dxa"/>
            <w:tcMar>
              <w:top w:w="0" w:type="dxa"/>
              <w:bottom w:w="0" w:type="dxa"/>
            </w:tcMar>
            <w:vAlign w:val="center"/>
          </w:tcPr>
          <w:p w:rsidR="00526B0C" w:rsidRDefault="00950DA0">
            <w:pPr>
              <w:keepNext/>
              <w:keepLines/>
              <w:spacing w:after="0" w:line="240" w:lineRule="auto"/>
            </w:pPr>
            <w:r>
              <w:rPr>
                <w:sz w:val="18"/>
              </w:rPr>
              <w:t>Pomoći temeljem prijenosa EU sredstava (šifre 6381+6382)</w:t>
            </w:r>
          </w:p>
        </w:tc>
        <w:tc>
          <w:tcPr>
            <w:tcW w:w="700" w:type="dxa"/>
            <w:tcMar>
              <w:top w:w="0" w:type="dxa"/>
              <w:bottom w:w="0" w:type="dxa"/>
            </w:tcMar>
            <w:vAlign w:val="center"/>
          </w:tcPr>
          <w:p w:rsidR="00526B0C" w:rsidRDefault="00950DA0">
            <w:pPr>
              <w:keepNext/>
              <w:keepLines/>
              <w:spacing w:after="0" w:line="240" w:lineRule="auto"/>
            </w:pPr>
            <w:r>
              <w:rPr>
                <w:sz w:val="18"/>
              </w:rPr>
              <w:t>638</w:t>
            </w:r>
          </w:p>
        </w:tc>
        <w:tc>
          <w:tcPr>
            <w:tcW w:w="1860" w:type="dxa"/>
            <w:tcMar>
              <w:top w:w="0" w:type="dxa"/>
              <w:bottom w:w="0" w:type="dxa"/>
            </w:tcMar>
            <w:vAlign w:val="center"/>
          </w:tcPr>
          <w:p w:rsidR="00526B0C" w:rsidRDefault="00950DA0">
            <w:pPr>
              <w:keepNext/>
              <w:keepLines/>
              <w:spacing w:after="0" w:line="240" w:lineRule="auto"/>
              <w:jc w:val="right"/>
            </w:pPr>
            <w:r>
              <w:rPr>
                <w:sz w:val="18"/>
              </w:rPr>
              <w:t>2.621.232,75</w:t>
            </w:r>
          </w:p>
        </w:tc>
        <w:tc>
          <w:tcPr>
            <w:tcW w:w="1860" w:type="dxa"/>
            <w:tcMar>
              <w:top w:w="0" w:type="dxa"/>
              <w:bottom w:w="0" w:type="dxa"/>
            </w:tcMar>
            <w:vAlign w:val="center"/>
          </w:tcPr>
          <w:p w:rsidR="00526B0C" w:rsidRDefault="00950DA0">
            <w:pPr>
              <w:keepNext/>
              <w:keepLines/>
              <w:spacing w:after="0" w:line="240" w:lineRule="auto"/>
              <w:jc w:val="right"/>
            </w:pPr>
            <w:r>
              <w:rPr>
                <w:sz w:val="18"/>
              </w:rPr>
              <w:t>5.399.070,02</w:t>
            </w:r>
          </w:p>
        </w:tc>
        <w:tc>
          <w:tcPr>
            <w:tcW w:w="700" w:type="dxa"/>
            <w:tcMar>
              <w:top w:w="0" w:type="dxa"/>
              <w:bottom w:w="0" w:type="dxa"/>
            </w:tcMar>
            <w:vAlign w:val="center"/>
          </w:tcPr>
          <w:p w:rsidR="00526B0C" w:rsidRDefault="00950DA0">
            <w:pPr>
              <w:keepNext/>
              <w:keepLines/>
              <w:spacing w:after="0" w:line="240" w:lineRule="auto"/>
              <w:jc w:val="right"/>
            </w:pPr>
            <w:r>
              <w:rPr>
                <w:sz w:val="18"/>
              </w:rPr>
              <w:t>206,0</w:t>
            </w:r>
          </w:p>
        </w:tc>
      </w:tr>
    </w:tbl>
    <w:p w:rsidR="00526B0C" w:rsidRDefault="00526B0C">
      <w:pPr>
        <w:spacing w:after="0"/>
      </w:pPr>
    </w:p>
    <w:p w:rsidR="00526B0C" w:rsidRDefault="00950DA0">
      <w:pPr>
        <w:jc w:val="both"/>
      </w:pPr>
      <w:r>
        <w:t>Najveće povećanje je kod proračunskog korisnika -Dom za starije osobe Kantrida (2025. godina 0,00 eura – 2026. godina 1.960.092,29 eura), a odnosi se na doznačene pomoći temeljem odobrenih zahtjeva za EU projekt Energetske obnove Doma koji je započeo u drugoj polovini 2025. godine.</w:t>
      </w:r>
    </w:p>
    <w:p w:rsidR="00526B0C" w:rsidRDefault="00950DA0">
      <w:pPr>
        <w:jc w:val="both"/>
      </w:pPr>
      <w:r>
        <w:t>Značajno je odstupanje i kod proračunskog korisnika -Pomorski i povijesni muzej hrvatskog primorja (2025. godina 45.625,00 eura - 2026. godina 1.632.462,68 eura), a odnosi se na doznačene pomoći temeljem odobrenih zahtjeva za EU projekt Energetska obnova Guvernerove palače, koji je započeo u 2025. godini.</w:t>
      </w:r>
    </w:p>
    <w:p w:rsidR="00526B0C" w:rsidRDefault="00526B0C"/>
    <w:p w:rsidR="00526B0C" w:rsidRDefault="00950DA0">
      <w:pPr>
        <w:keepNext/>
        <w:spacing w:line="240" w:lineRule="auto"/>
        <w:jc w:val="center"/>
      </w:pPr>
      <w:r>
        <w:rPr>
          <w:sz w:val="28"/>
        </w:rPr>
        <w:lastRenderedPageBreak/>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6421</w:t>
            </w:r>
          </w:p>
        </w:tc>
        <w:tc>
          <w:tcPr>
            <w:tcW w:w="3180" w:type="dxa"/>
            <w:tcMar>
              <w:top w:w="0" w:type="dxa"/>
              <w:bottom w:w="0" w:type="dxa"/>
            </w:tcMar>
            <w:vAlign w:val="center"/>
          </w:tcPr>
          <w:p w:rsidR="00526B0C" w:rsidRDefault="00950DA0">
            <w:pPr>
              <w:keepNext/>
              <w:keepLines/>
              <w:spacing w:after="0" w:line="240" w:lineRule="auto"/>
            </w:pPr>
            <w:r>
              <w:rPr>
                <w:sz w:val="18"/>
              </w:rPr>
              <w:t>Naknade za koncesije</w:t>
            </w:r>
          </w:p>
        </w:tc>
        <w:tc>
          <w:tcPr>
            <w:tcW w:w="700" w:type="dxa"/>
            <w:tcMar>
              <w:top w:w="0" w:type="dxa"/>
              <w:bottom w:w="0" w:type="dxa"/>
            </w:tcMar>
            <w:vAlign w:val="center"/>
          </w:tcPr>
          <w:p w:rsidR="00526B0C" w:rsidRDefault="00950DA0">
            <w:pPr>
              <w:keepNext/>
              <w:keepLines/>
              <w:spacing w:after="0" w:line="240" w:lineRule="auto"/>
            </w:pPr>
            <w:r>
              <w:rPr>
                <w:sz w:val="18"/>
              </w:rPr>
              <w:t>6421</w:t>
            </w:r>
          </w:p>
        </w:tc>
        <w:tc>
          <w:tcPr>
            <w:tcW w:w="1860" w:type="dxa"/>
            <w:tcMar>
              <w:top w:w="0" w:type="dxa"/>
              <w:bottom w:w="0" w:type="dxa"/>
            </w:tcMar>
            <w:vAlign w:val="center"/>
          </w:tcPr>
          <w:p w:rsidR="00526B0C" w:rsidRDefault="00950DA0">
            <w:pPr>
              <w:keepNext/>
              <w:keepLines/>
              <w:spacing w:after="0" w:line="240" w:lineRule="auto"/>
              <w:jc w:val="right"/>
            </w:pPr>
            <w:r>
              <w:rPr>
                <w:sz w:val="18"/>
              </w:rPr>
              <w:t>1.834.220,11</w:t>
            </w:r>
          </w:p>
        </w:tc>
        <w:tc>
          <w:tcPr>
            <w:tcW w:w="1860" w:type="dxa"/>
            <w:tcMar>
              <w:top w:w="0" w:type="dxa"/>
              <w:bottom w:w="0" w:type="dxa"/>
            </w:tcMar>
            <w:vAlign w:val="center"/>
          </w:tcPr>
          <w:p w:rsidR="00526B0C" w:rsidRDefault="00950DA0">
            <w:pPr>
              <w:keepNext/>
              <w:keepLines/>
              <w:spacing w:after="0" w:line="240" w:lineRule="auto"/>
              <w:jc w:val="right"/>
            </w:pPr>
            <w:r>
              <w:rPr>
                <w:sz w:val="18"/>
              </w:rPr>
              <w:t>2.172.898,72</w:t>
            </w:r>
          </w:p>
        </w:tc>
        <w:tc>
          <w:tcPr>
            <w:tcW w:w="700" w:type="dxa"/>
            <w:tcMar>
              <w:top w:w="0" w:type="dxa"/>
              <w:bottom w:w="0" w:type="dxa"/>
            </w:tcMar>
            <w:vAlign w:val="center"/>
          </w:tcPr>
          <w:p w:rsidR="00526B0C" w:rsidRDefault="00950DA0">
            <w:pPr>
              <w:keepNext/>
              <w:keepLines/>
              <w:spacing w:after="0" w:line="240" w:lineRule="auto"/>
              <w:jc w:val="right"/>
            </w:pPr>
            <w:r>
              <w:rPr>
                <w:sz w:val="18"/>
              </w:rPr>
              <w:t>118,5</w:t>
            </w:r>
          </w:p>
        </w:tc>
      </w:tr>
    </w:tbl>
    <w:p w:rsidR="00526B0C" w:rsidRDefault="00526B0C">
      <w:pPr>
        <w:spacing w:after="0"/>
      </w:pPr>
    </w:p>
    <w:p w:rsidR="00526B0C" w:rsidRDefault="00950DA0">
      <w:pPr>
        <w:jc w:val="both"/>
      </w:pPr>
      <w:r>
        <w:t>Najveće odstupanje je kod Primorsko-goranske županije (2025. godina 1.809.661,14 eura – 2026. godina 2.153.528,72 eura), a rezultat je, u najvećoj mjeri, povećanja prihoda po osnovi naknade za koncesiju na pomorskom dobru (u 2025. godini ostvareno je  1.050.807,34 eura, a u 2026. godini 1.378.106,60 eura).</w:t>
      </w:r>
    </w:p>
    <w:p w:rsidR="00526B0C" w:rsidRDefault="00526B0C"/>
    <w:p w:rsidR="00526B0C" w:rsidRDefault="00950DA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6632</w:t>
            </w:r>
          </w:p>
        </w:tc>
        <w:tc>
          <w:tcPr>
            <w:tcW w:w="3180" w:type="dxa"/>
            <w:tcMar>
              <w:top w:w="0" w:type="dxa"/>
              <w:bottom w:w="0" w:type="dxa"/>
            </w:tcMar>
            <w:vAlign w:val="center"/>
          </w:tcPr>
          <w:p w:rsidR="00526B0C" w:rsidRDefault="00950DA0">
            <w:pPr>
              <w:keepNext/>
              <w:keepLines/>
              <w:spacing w:after="0" w:line="240" w:lineRule="auto"/>
            </w:pPr>
            <w:r>
              <w:rPr>
                <w:sz w:val="18"/>
              </w:rPr>
              <w:t>Kapitalne donacije</w:t>
            </w:r>
          </w:p>
        </w:tc>
        <w:tc>
          <w:tcPr>
            <w:tcW w:w="700" w:type="dxa"/>
            <w:tcMar>
              <w:top w:w="0" w:type="dxa"/>
              <w:bottom w:w="0" w:type="dxa"/>
            </w:tcMar>
            <w:vAlign w:val="center"/>
          </w:tcPr>
          <w:p w:rsidR="00526B0C" w:rsidRDefault="00950DA0">
            <w:pPr>
              <w:keepNext/>
              <w:keepLines/>
              <w:spacing w:after="0" w:line="240" w:lineRule="auto"/>
            </w:pPr>
            <w:r>
              <w:rPr>
                <w:sz w:val="18"/>
              </w:rPr>
              <w:t>6632</w:t>
            </w:r>
          </w:p>
        </w:tc>
        <w:tc>
          <w:tcPr>
            <w:tcW w:w="1860" w:type="dxa"/>
            <w:tcMar>
              <w:top w:w="0" w:type="dxa"/>
              <w:bottom w:w="0" w:type="dxa"/>
            </w:tcMar>
            <w:vAlign w:val="center"/>
          </w:tcPr>
          <w:p w:rsidR="00526B0C" w:rsidRDefault="00950DA0">
            <w:pPr>
              <w:keepNext/>
              <w:keepLines/>
              <w:spacing w:after="0" w:line="240" w:lineRule="auto"/>
              <w:jc w:val="right"/>
            </w:pPr>
            <w:r>
              <w:rPr>
                <w:sz w:val="18"/>
              </w:rPr>
              <w:t>29.255,40</w:t>
            </w:r>
          </w:p>
        </w:tc>
        <w:tc>
          <w:tcPr>
            <w:tcW w:w="1860" w:type="dxa"/>
            <w:tcMar>
              <w:top w:w="0" w:type="dxa"/>
              <w:bottom w:w="0" w:type="dxa"/>
            </w:tcMar>
            <w:vAlign w:val="center"/>
          </w:tcPr>
          <w:p w:rsidR="00526B0C" w:rsidRDefault="00950DA0">
            <w:pPr>
              <w:keepNext/>
              <w:keepLines/>
              <w:spacing w:after="0" w:line="240" w:lineRule="auto"/>
              <w:jc w:val="right"/>
            </w:pPr>
            <w:r>
              <w:rPr>
                <w:sz w:val="18"/>
              </w:rPr>
              <w:t>334.084,36</w:t>
            </w:r>
          </w:p>
        </w:tc>
        <w:tc>
          <w:tcPr>
            <w:tcW w:w="700" w:type="dxa"/>
            <w:tcMar>
              <w:top w:w="0" w:type="dxa"/>
              <w:bottom w:w="0" w:type="dxa"/>
            </w:tcMar>
            <w:vAlign w:val="center"/>
          </w:tcPr>
          <w:p w:rsidR="00526B0C" w:rsidRDefault="00950DA0">
            <w:pPr>
              <w:keepNext/>
              <w:keepLines/>
              <w:spacing w:after="0" w:line="240" w:lineRule="auto"/>
              <w:jc w:val="right"/>
            </w:pPr>
            <w:r>
              <w:rPr>
                <w:sz w:val="18"/>
              </w:rPr>
              <w:t>1142,0</w:t>
            </w:r>
          </w:p>
        </w:tc>
      </w:tr>
    </w:tbl>
    <w:p w:rsidR="00526B0C" w:rsidRDefault="00526B0C">
      <w:pPr>
        <w:spacing w:after="0"/>
      </w:pPr>
    </w:p>
    <w:p w:rsidR="00526B0C" w:rsidRDefault="00950DA0">
      <w:pPr>
        <w:jc w:val="both"/>
      </w:pPr>
      <w:r>
        <w:t xml:space="preserve">Najveće povećanje prihoda je kod Primorsko-goranske županije (2025. godina 0,00 eura - 2026. godina 300.000,00 eura). U izvještajnom razdoblju tekuće godine Županija je ostvarila prihod od kapitalne donacije u iznosu od 300.000,00 eura od Srpskog narodnog vijeća - Nacionalne koordinacije vijeća srpske nacionalne manjine u Republici Hrvatskoj za sufinanciranje projekta "Izgradnja školske sportske dvorane Željezničko tehničke škole </w:t>
      </w:r>
      <w:proofErr w:type="spellStart"/>
      <w:r>
        <w:t>Moravice</w:t>
      </w:r>
      <w:proofErr w:type="spellEnd"/>
      <w:r>
        <w:t xml:space="preserve"> s opremanjem".</w:t>
      </w:r>
    </w:p>
    <w:p w:rsidR="00526B0C" w:rsidRDefault="00526B0C"/>
    <w:p w:rsidR="00526B0C" w:rsidRDefault="00950DA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673</w:t>
            </w:r>
          </w:p>
        </w:tc>
        <w:tc>
          <w:tcPr>
            <w:tcW w:w="3180" w:type="dxa"/>
            <w:tcMar>
              <w:top w:w="0" w:type="dxa"/>
              <w:bottom w:w="0" w:type="dxa"/>
            </w:tcMar>
            <w:vAlign w:val="center"/>
          </w:tcPr>
          <w:p w:rsidR="00526B0C" w:rsidRDefault="00950DA0">
            <w:pPr>
              <w:keepNext/>
              <w:keepLines/>
              <w:spacing w:after="0" w:line="240" w:lineRule="auto"/>
            </w:pPr>
            <w:r>
              <w:rPr>
                <w:sz w:val="18"/>
              </w:rPr>
              <w:t>Prihodi od HZZO-a na temelju ugovornih obveza</w:t>
            </w:r>
          </w:p>
        </w:tc>
        <w:tc>
          <w:tcPr>
            <w:tcW w:w="700" w:type="dxa"/>
            <w:tcMar>
              <w:top w:w="0" w:type="dxa"/>
              <w:bottom w:w="0" w:type="dxa"/>
            </w:tcMar>
            <w:vAlign w:val="center"/>
          </w:tcPr>
          <w:p w:rsidR="00526B0C" w:rsidRDefault="00950DA0">
            <w:pPr>
              <w:keepNext/>
              <w:keepLines/>
              <w:spacing w:after="0" w:line="240" w:lineRule="auto"/>
            </w:pPr>
            <w:r>
              <w:rPr>
                <w:sz w:val="18"/>
              </w:rPr>
              <w:t>673</w:t>
            </w:r>
          </w:p>
        </w:tc>
        <w:tc>
          <w:tcPr>
            <w:tcW w:w="1860" w:type="dxa"/>
            <w:tcMar>
              <w:top w:w="0" w:type="dxa"/>
              <w:bottom w:w="0" w:type="dxa"/>
            </w:tcMar>
            <w:vAlign w:val="center"/>
          </w:tcPr>
          <w:p w:rsidR="00526B0C" w:rsidRDefault="00950DA0">
            <w:pPr>
              <w:keepNext/>
              <w:keepLines/>
              <w:spacing w:after="0" w:line="240" w:lineRule="auto"/>
              <w:jc w:val="right"/>
            </w:pPr>
            <w:r>
              <w:rPr>
                <w:sz w:val="18"/>
              </w:rPr>
              <w:t>38.997.766,87</w:t>
            </w:r>
          </w:p>
        </w:tc>
        <w:tc>
          <w:tcPr>
            <w:tcW w:w="1860" w:type="dxa"/>
            <w:tcMar>
              <w:top w:w="0" w:type="dxa"/>
              <w:bottom w:w="0" w:type="dxa"/>
            </w:tcMar>
            <w:vAlign w:val="center"/>
          </w:tcPr>
          <w:p w:rsidR="00526B0C" w:rsidRDefault="00950DA0">
            <w:pPr>
              <w:keepNext/>
              <w:keepLines/>
              <w:spacing w:after="0" w:line="240" w:lineRule="auto"/>
              <w:jc w:val="right"/>
            </w:pPr>
            <w:r>
              <w:rPr>
                <w:sz w:val="18"/>
              </w:rPr>
              <w:t>43.590.911,59</w:t>
            </w:r>
          </w:p>
        </w:tc>
        <w:tc>
          <w:tcPr>
            <w:tcW w:w="700" w:type="dxa"/>
            <w:tcMar>
              <w:top w:w="0" w:type="dxa"/>
              <w:bottom w:w="0" w:type="dxa"/>
            </w:tcMar>
            <w:vAlign w:val="center"/>
          </w:tcPr>
          <w:p w:rsidR="00526B0C" w:rsidRDefault="00950DA0">
            <w:pPr>
              <w:keepNext/>
              <w:keepLines/>
              <w:spacing w:after="0" w:line="240" w:lineRule="auto"/>
              <w:jc w:val="right"/>
            </w:pPr>
            <w:r>
              <w:rPr>
                <w:sz w:val="18"/>
              </w:rPr>
              <w:t>111,8</w:t>
            </w:r>
          </w:p>
        </w:tc>
      </w:tr>
    </w:tbl>
    <w:p w:rsidR="00526B0C" w:rsidRDefault="00526B0C">
      <w:pPr>
        <w:spacing w:after="0"/>
      </w:pPr>
    </w:p>
    <w:p w:rsidR="00526B0C" w:rsidRDefault="00950DA0">
      <w:pPr>
        <w:jc w:val="both"/>
      </w:pPr>
      <w:r>
        <w:t>Radi se o prihodu proračunskih korisnika – zdravstvenih ustanova, koje bilježe povećanje predmetnih prihoda od HZZO-a u odnosu na prethodno izvještajno razdoblje.</w:t>
      </w:r>
    </w:p>
    <w:p w:rsidR="00526B0C" w:rsidRDefault="00526B0C"/>
    <w:p w:rsidR="00526B0C" w:rsidRDefault="00950DA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3611</w:t>
            </w:r>
          </w:p>
        </w:tc>
        <w:tc>
          <w:tcPr>
            <w:tcW w:w="3180" w:type="dxa"/>
            <w:tcMar>
              <w:top w:w="0" w:type="dxa"/>
              <w:bottom w:w="0" w:type="dxa"/>
            </w:tcMar>
            <w:vAlign w:val="center"/>
          </w:tcPr>
          <w:p w:rsidR="00526B0C" w:rsidRDefault="00950DA0">
            <w:pPr>
              <w:keepNext/>
              <w:keepLines/>
              <w:spacing w:after="0" w:line="240" w:lineRule="auto"/>
            </w:pPr>
            <w:r>
              <w:rPr>
                <w:sz w:val="18"/>
              </w:rPr>
              <w:t>Tekuće pomoći inozemnim vladama</w:t>
            </w:r>
          </w:p>
        </w:tc>
        <w:tc>
          <w:tcPr>
            <w:tcW w:w="700" w:type="dxa"/>
            <w:tcMar>
              <w:top w:w="0" w:type="dxa"/>
              <w:bottom w:w="0" w:type="dxa"/>
            </w:tcMar>
            <w:vAlign w:val="center"/>
          </w:tcPr>
          <w:p w:rsidR="00526B0C" w:rsidRDefault="00950DA0">
            <w:pPr>
              <w:keepNext/>
              <w:keepLines/>
              <w:spacing w:after="0" w:line="240" w:lineRule="auto"/>
            </w:pPr>
            <w:r>
              <w:rPr>
                <w:sz w:val="18"/>
              </w:rPr>
              <w:t>3611</w:t>
            </w:r>
          </w:p>
        </w:tc>
        <w:tc>
          <w:tcPr>
            <w:tcW w:w="1860" w:type="dxa"/>
            <w:tcMar>
              <w:top w:w="0" w:type="dxa"/>
              <w:bottom w:w="0" w:type="dxa"/>
            </w:tcMar>
            <w:vAlign w:val="center"/>
          </w:tcPr>
          <w:p w:rsidR="00526B0C" w:rsidRDefault="00950DA0">
            <w:pPr>
              <w:keepNext/>
              <w:keepLines/>
              <w:spacing w:after="0" w:line="240" w:lineRule="auto"/>
              <w:jc w:val="right"/>
            </w:pPr>
            <w:r>
              <w:rPr>
                <w:sz w:val="18"/>
              </w:rPr>
              <w:t>332.125,70</w:t>
            </w:r>
          </w:p>
        </w:tc>
        <w:tc>
          <w:tcPr>
            <w:tcW w:w="1860" w:type="dxa"/>
            <w:tcMar>
              <w:top w:w="0" w:type="dxa"/>
              <w:bottom w:w="0" w:type="dxa"/>
            </w:tcMar>
            <w:vAlign w:val="center"/>
          </w:tcPr>
          <w:p w:rsidR="00526B0C" w:rsidRDefault="00950DA0">
            <w:pPr>
              <w:keepNext/>
              <w:keepLines/>
              <w:spacing w:after="0" w:line="240" w:lineRule="auto"/>
              <w:jc w:val="right"/>
            </w:pPr>
            <w:r>
              <w:rPr>
                <w:sz w:val="18"/>
              </w:rPr>
              <w:t>493.143,82</w:t>
            </w:r>
          </w:p>
        </w:tc>
        <w:tc>
          <w:tcPr>
            <w:tcW w:w="700" w:type="dxa"/>
            <w:tcMar>
              <w:top w:w="0" w:type="dxa"/>
              <w:bottom w:w="0" w:type="dxa"/>
            </w:tcMar>
            <w:vAlign w:val="center"/>
          </w:tcPr>
          <w:p w:rsidR="00526B0C" w:rsidRDefault="00950DA0">
            <w:pPr>
              <w:keepNext/>
              <w:keepLines/>
              <w:spacing w:after="0" w:line="240" w:lineRule="auto"/>
              <w:jc w:val="right"/>
            </w:pPr>
            <w:r>
              <w:rPr>
                <w:sz w:val="18"/>
              </w:rPr>
              <w:t>148,5</w:t>
            </w:r>
          </w:p>
        </w:tc>
      </w:tr>
    </w:tbl>
    <w:p w:rsidR="00526B0C" w:rsidRDefault="00526B0C">
      <w:pPr>
        <w:spacing w:after="0"/>
      </w:pPr>
    </w:p>
    <w:p w:rsidR="00526B0C" w:rsidRDefault="00950DA0">
      <w:pPr>
        <w:jc w:val="both"/>
      </w:pPr>
      <w:r>
        <w:t xml:space="preserve">Najveće povećanje je kod rashoda Primorsko-goranske županije (2025. godina 199.759,52 eura – 2026. godina 324.335,55 eura), a rezultat je isplaćenih pomoći projektnim partnerima, </w:t>
      </w:r>
      <w:r>
        <w:lastRenderedPageBreak/>
        <w:t xml:space="preserve">temeljem odobrenih zahtjeva za nadoknadom sredstava, u okviru EU projekata: </w:t>
      </w:r>
      <w:proofErr w:type="spellStart"/>
      <w:r>
        <w:t>Digi</w:t>
      </w:r>
      <w:proofErr w:type="spellEnd"/>
      <w:r>
        <w:t>-B-</w:t>
      </w:r>
      <w:proofErr w:type="spellStart"/>
      <w:r>
        <w:t>Well</w:t>
      </w:r>
      <w:proofErr w:type="spellEnd"/>
      <w:r>
        <w:t xml:space="preserve"> (u 2025. godini 165.973,39 eura, a u 2026. godini 293.939,63 eura) i CENTINOSS (u 2025. godini 33.786,13 eura, a u 2026. godini 30.395,92 eura).</w:t>
      </w:r>
    </w:p>
    <w:p w:rsidR="00526B0C" w:rsidRDefault="00526B0C"/>
    <w:p w:rsidR="00526B0C" w:rsidRDefault="00950DA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3632</w:t>
            </w:r>
          </w:p>
        </w:tc>
        <w:tc>
          <w:tcPr>
            <w:tcW w:w="3180" w:type="dxa"/>
            <w:tcMar>
              <w:top w:w="0" w:type="dxa"/>
              <w:bottom w:w="0" w:type="dxa"/>
            </w:tcMar>
            <w:vAlign w:val="center"/>
          </w:tcPr>
          <w:p w:rsidR="00526B0C" w:rsidRDefault="00950DA0">
            <w:pPr>
              <w:keepNext/>
              <w:keepLines/>
              <w:spacing w:after="0" w:line="240" w:lineRule="auto"/>
            </w:pPr>
            <w:r>
              <w:rPr>
                <w:sz w:val="18"/>
              </w:rPr>
              <w:t>Kapitalne pomoći drugom proračunu i izvanproračunskim korisnicima</w:t>
            </w:r>
          </w:p>
        </w:tc>
        <w:tc>
          <w:tcPr>
            <w:tcW w:w="700" w:type="dxa"/>
            <w:tcMar>
              <w:top w:w="0" w:type="dxa"/>
              <w:bottom w:w="0" w:type="dxa"/>
            </w:tcMar>
            <w:vAlign w:val="center"/>
          </w:tcPr>
          <w:p w:rsidR="00526B0C" w:rsidRDefault="00950DA0">
            <w:pPr>
              <w:keepNext/>
              <w:keepLines/>
              <w:spacing w:after="0" w:line="240" w:lineRule="auto"/>
            </w:pPr>
            <w:r>
              <w:rPr>
                <w:sz w:val="18"/>
              </w:rPr>
              <w:t>3632</w:t>
            </w:r>
          </w:p>
        </w:tc>
        <w:tc>
          <w:tcPr>
            <w:tcW w:w="1860" w:type="dxa"/>
            <w:tcMar>
              <w:top w:w="0" w:type="dxa"/>
              <w:bottom w:w="0" w:type="dxa"/>
            </w:tcMar>
            <w:vAlign w:val="center"/>
          </w:tcPr>
          <w:p w:rsidR="00526B0C" w:rsidRDefault="00950DA0">
            <w:pPr>
              <w:keepNext/>
              <w:keepLines/>
              <w:spacing w:after="0" w:line="240" w:lineRule="auto"/>
              <w:jc w:val="right"/>
            </w:pPr>
            <w:r>
              <w:rPr>
                <w:sz w:val="18"/>
              </w:rPr>
              <w:t>1.093.238,45</w:t>
            </w:r>
          </w:p>
        </w:tc>
        <w:tc>
          <w:tcPr>
            <w:tcW w:w="1860" w:type="dxa"/>
            <w:tcMar>
              <w:top w:w="0" w:type="dxa"/>
              <w:bottom w:w="0" w:type="dxa"/>
            </w:tcMar>
            <w:vAlign w:val="center"/>
          </w:tcPr>
          <w:p w:rsidR="00526B0C" w:rsidRDefault="00950DA0">
            <w:pPr>
              <w:keepNext/>
              <w:keepLines/>
              <w:spacing w:after="0" w:line="240" w:lineRule="auto"/>
              <w:jc w:val="right"/>
            </w:pPr>
            <w:r>
              <w:rPr>
                <w:sz w:val="18"/>
              </w:rPr>
              <w:t>2.151.288,40</w:t>
            </w:r>
          </w:p>
        </w:tc>
        <w:tc>
          <w:tcPr>
            <w:tcW w:w="700" w:type="dxa"/>
            <w:tcMar>
              <w:top w:w="0" w:type="dxa"/>
              <w:bottom w:w="0" w:type="dxa"/>
            </w:tcMar>
            <w:vAlign w:val="center"/>
          </w:tcPr>
          <w:p w:rsidR="00526B0C" w:rsidRDefault="00950DA0">
            <w:pPr>
              <w:keepNext/>
              <w:keepLines/>
              <w:spacing w:after="0" w:line="240" w:lineRule="auto"/>
              <w:jc w:val="right"/>
            </w:pPr>
            <w:r>
              <w:rPr>
                <w:sz w:val="18"/>
              </w:rPr>
              <w:t>196,8</w:t>
            </w:r>
          </w:p>
        </w:tc>
      </w:tr>
    </w:tbl>
    <w:p w:rsidR="00526B0C" w:rsidRDefault="00526B0C">
      <w:pPr>
        <w:spacing w:after="0"/>
      </w:pPr>
    </w:p>
    <w:p w:rsidR="00526B0C" w:rsidRDefault="00950DA0">
      <w:pPr>
        <w:jc w:val="both"/>
      </w:pPr>
      <w:r>
        <w:t xml:space="preserve">Radi se o rashodu Primorsko-goranske županije, a do navedenog povećanja najvećim je djelom došlo kao rezultat povećanja rashoda za kapitalni projekt Centar za starije osobe </w:t>
      </w:r>
      <w:proofErr w:type="spellStart"/>
      <w:r>
        <w:t>Kostrena</w:t>
      </w:r>
      <w:proofErr w:type="spellEnd"/>
      <w:r>
        <w:t xml:space="preserve">-Općina </w:t>
      </w:r>
      <w:proofErr w:type="spellStart"/>
      <w:r>
        <w:t>Kostrena</w:t>
      </w:r>
      <w:proofErr w:type="spellEnd"/>
      <w:r>
        <w:t xml:space="preserve"> (u 2025. godini 464.883,04 eura, a u 2026. godini 2.024.784,03 eura).</w:t>
      </w:r>
    </w:p>
    <w:p w:rsidR="00526B0C" w:rsidRDefault="00526B0C"/>
    <w:p w:rsidR="00526B0C" w:rsidRDefault="00950DA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3722</w:t>
            </w:r>
          </w:p>
        </w:tc>
        <w:tc>
          <w:tcPr>
            <w:tcW w:w="3180" w:type="dxa"/>
            <w:tcMar>
              <w:top w:w="0" w:type="dxa"/>
              <w:bottom w:w="0" w:type="dxa"/>
            </w:tcMar>
            <w:vAlign w:val="center"/>
          </w:tcPr>
          <w:p w:rsidR="00526B0C" w:rsidRDefault="00950DA0">
            <w:pPr>
              <w:keepNext/>
              <w:keepLines/>
              <w:spacing w:after="0" w:line="240" w:lineRule="auto"/>
            </w:pPr>
            <w:r>
              <w:rPr>
                <w:sz w:val="18"/>
              </w:rPr>
              <w:t>Naknade građanima i kućanstvima u naravi</w:t>
            </w:r>
          </w:p>
        </w:tc>
        <w:tc>
          <w:tcPr>
            <w:tcW w:w="700" w:type="dxa"/>
            <w:tcMar>
              <w:top w:w="0" w:type="dxa"/>
              <w:bottom w:w="0" w:type="dxa"/>
            </w:tcMar>
            <w:vAlign w:val="center"/>
          </w:tcPr>
          <w:p w:rsidR="00526B0C" w:rsidRDefault="00950DA0">
            <w:pPr>
              <w:keepNext/>
              <w:keepLines/>
              <w:spacing w:after="0" w:line="240" w:lineRule="auto"/>
            </w:pPr>
            <w:r>
              <w:rPr>
                <w:sz w:val="18"/>
              </w:rPr>
              <w:t>3722</w:t>
            </w:r>
          </w:p>
        </w:tc>
        <w:tc>
          <w:tcPr>
            <w:tcW w:w="1860" w:type="dxa"/>
            <w:tcMar>
              <w:top w:w="0" w:type="dxa"/>
              <w:bottom w:w="0" w:type="dxa"/>
            </w:tcMar>
            <w:vAlign w:val="center"/>
          </w:tcPr>
          <w:p w:rsidR="00526B0C" w:rsidRDefault="00950DA0">
            <w:pPr>
              <w:keepNext/>
              <w:keepLines/>
              <w:spacing w:after="0" w:line="240" w:lineRule="auto"/>
              <w:jc w:val="right"/>
            </w:pPr>
            <w:r>
              <w:rPr>
                <w:sz w:val="18"/>
              </w:rPr>
              <w:t>1.480.633,24</w:t>
            </w:r>
          </w:p>
        </w:tc>
        <w:tc>
          <w:tcPr>
            <w:tcW w:w="1860" w:type="dxa"/>
            <w:tcMar>
              <w:top w:w="0" w:type="dxa"/>
              <w:bottom w:w="0" w:type="dxa"/>
            </w:tcMar>
            <w:vAlign w:val="center"/>
          </w:tcPr>
          <w:p w:rsidR="00526B0C" w:rsidRDefault="00950DA0">
            <w:pPr>
              <w:keepNext/>
              <w:keepLines/>
              <w:spacing w:after="0" w:line="240" w:lineRule="auto"/>
              <w:jc w:val="right"/>
            </w:pPr>
            <w:r>
              <w:rPr>
                <w:sz w:val="18"/>
              </w:rPr>
              <w:t>2.679.705,11</w:t>
            </w:r>
          </w:p>
        </w:tc>
        <w:tc>
          <w:tcPr>
            <w:tcW w:w="700" w:type="dxa"/>
            <w:tcMar>
              <w:top w:w="0" w:type="dxa"/>
              <w:bottom w:w="0" w:type="dxa"/>
            </w:tcMar>
            <w:vAlign w:val="center"/>
          </w:tcPr>
          <w:p w:rsidR="00526B0C" w:rsidRDefault="00950DA0">
            <w:pPr>
              <w:keepNext/>
              <w:keepLines/>
              <w:spacing w:after="0" w:line="240" w:lineRule="auto"/>
              <w:jc w:val="right"/>
            </w:pPr>
            <w:r>
              <w:rPr>
                <w:sz w:val="18"/>
              </w:rPr>
              <w:t>181,0</w:t>
            </w:r>
          </w:p>
        </w:tc>
      </w:tr>
    </w:tbl>
    <w:p w:rsidR="00526B0C" w:rsidRDefault="00526B0C">
      <w:pPr>
        <w:spacing w:after="0"/>
      </w:pPr>
    </w:p>
    <w:p w:rsidR="00526B0C" w:rsidRDefault="00950DA0">
      <w:pPr>
        <w:jc w:val="both"/>
      </w:pPr>
      <w:r>
        <w:t>Navedeno odstupanje je, najvećim djelom, rezultat rashoda Primorsko-goranske županije za financiranje besplatnog, javnog otočnog cestovnog prijevoza putnika na području Županije, odnosno otoka Krk, Cres, Lošinj i Rab, a koje županije podmiruju temeljem Pravilnika o načinu ostvarivanja prava na besplatan javni otočni cestovni prijevoz („Narodne novine“ broj 68/24) iz namjenskog prihoda doznačenog iz Državnog proračuna-Ministarstvo mora, prometa i infrastrukture (veza: šifra 6331). U izvještajnom razdoblju 2025. godine rashodi za tu namjenu iznose 899.540,96 eura, a u 2026. godini 1.715.584,52 eura.</w:t>
      </w:r>
    </w:p>
    <w:p w:rsidR="00526B0C" w:rsidRDefault="00526B0C"/>
    <w:p w:rsidR="00526B0C" w:rsidRDefault="00950DA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3811</w:t>
            </w:r>
          </w:p>
        </w:tc>
        <w:tc>
          <w:tcPr>
            <w:tcW w:w="3180" w:type="dxa"/>
            <w:tcMar>
              <w:top w:w="0" w:type="dxa"/>
              <w:bottom w:w="0" w:type="dxa"/>
            </w:tcMar>
            <w:vAlign w:val="center"/>
          </w:tcPr>
          <w:p w:rsidR="00526B0C" w:rsidRDefault="00950DA0">
            <w:pPr>
              <w:keepNext/>
              <w:keepLines/>
              <w:spacing w:after="0" w:line="240" w:lineRule="auto"/>
            </w:pPr>
            <w:r>
              <w:rPr>
                <w:sz w:val="18"/>
              </w:rPr>
              <w:t>Tekuće donacije u novcu</w:t>
            </w:r>
          </w:p>
        </w:tc>
        <w:tc>
          <w:tcPr>
            <w:tcW w:w="700" w:type="dxa"/>
            <w:tcMar>
              <w:top w:w="0" w:type="dxa"/>
              <w:bottom w:w="0" w:type="dxa"/>
            </w:tcMar>
            <w:vAlign w:val="center"/>
          </w:tcPr>
          <w:p w:rsidR="00526B0C" w:rsidRDefault="00950DA0">
            <w:pPr>
              <w:keepNext/>
              <w:keepLines/>
              <w:spacing w:after="0" w:line="240" w:lineRule="auto"/>
            </w:pPr>
            <w:r>
              <w:rPr>
                <w:sz w:val="18"/>
              </w:rPr>
              <w:t>3811</w:t>
            </w:r>
          </w:p>
        </w:tc>
        <w:tc>
          <w:tcPr>
            <w:tcW w:w="1860" w:type="dxa"/>
            <w:tcMar>
              <w:top w:w="0" w:type="dxa"/>
              <w:bottom w:w="0" w:type="dxa"/>
            </w:tcMar>
            <w:vAlign w:val="center"/>
          </w:tcPr>
          <w:p w:rsidR="00526B0C" w:rsidRDefault="00950DA0">
            <w:pPr>
              <w:keepNext/>
              <w:keepLines/>
              <w:spacing w:after="0" w:line="240" w:lineRule="auto"/>
              <w:jc w:val="right"/>
            </w:pPr>
            <w:r>
              <w:rPr>
                <w:sz w:val="18"/>
              </w:rPr>
              <w:t>2.712.207,83</w:t>
            </w:r>
          </w:p>
        </w:tc>
        <w:tc>
          <w:tcPr>
            <w:tcW w:w="1860" w:type="dxa"/>
            <w:tcMar>
              <w:top w:w="0" w:type="dxa"/>
              <w:bottom w:w="0" w:type="dxa"/>
            </w:tcMar>
            <w:vAlign w:val="center"/>
          </w:tcPr>
          <w:p w:rsidR="00526B0C" w:rsidRDefault="00950DA0">
            <w:pPr>
              <w:keepNext/>
              <w:keepLines/>
              <w:spacing w:after="0" w:line="240" w:lineRule="auto"/>
              <w:jc w:val="right"/>
            </w:pPr>
            <w:r>
              <w:rPr>
                <w:sz w:val="18"/>
              </w:rPr>
              <w:t>4.182.429,36</w:t>
            </w:r>
          </w:p>
        </w:tc>
        <w:tc>
          <w:tcPr>
            <w:tcW w:w="700" w:type="dxa"/>
            <w:tcMar>
              <w:top w:w="0" w:type="dxa"/>
              <w:bottom w:w="0" w:type="dxa"/>
            </w:tcMar>
            <w:vAlign w:val="center"/>
          </w:tcPr>
          <w:p w:rsidR="00526B0C" w:rsidRDefault="00950DA0">
            <w:pPr>
              <w:keepNext/>
              <w:keepLines/>
              <w:spacing w:after="0" w:line="240" w:lineRule="auto"/>
              <w:jc w:val="right"/>
            </w:pPr>
            <w:r>
              <w:rPr>
                <w:sz w:val="18"/>
              </w:rPr>
              <w:t>154,2</w:t>
            </w:r>
          </w:p>
        </w:tc>
      </w:tr>
    </w:tbl>
    <w:p w:rsidR="00526B0C" w:rsidRDefault="00526B0C">
      <w:pPr>
        <w:spacing w:after="0"/>
      </w:pPr>
    </w:p>
    <w:p w:rsidR="00526B0C" w:rsidRDefault="00950DA0">
      <w:pPr>
        <w:jc w:val="both"/>
      </w:pPr>
      <w:r>
        <w:t>Predmetno odstupanje, rezultat je povećanja rashoda Županije (2025. godina 2.710.887,83 eura – 2026. godina 4.182.429,36 eura), a na navedeno, u najvećoj mjeri, utjecalo je povećanje rashoda za provedbu programa Poticanje i promicanje sporta (u 2025. godini iznose 980.820,00 eura, a u 2026. godini 2.234.200,00 eura).</w:t>
      </w:r>
    </w:p>
    <w:p w:rsidR="00526B0C" w:rsidRDefault="00526B0C"/>
    <w:p w:rsidR="00526B0C" w:rsidRDefault="00950DA0">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4124</w:t>
            </w:r>
          </w:p>
        </w:tc>
        <w:tc>
          <w:tcPr>
            <w:tcW w:w="3180" w:type="dxa"/>
            <w:tcMar>
              <w:top w:w="0" w:type="dxa"/>
              <w:bottom w:w="0" w:type="dxa"/>
            </w:tcMar>
            <w:vAlign w:val="center"/>
          </w:tcPr>
          <w:p w:rsidR="00526B0C" w:rsidRDefault="00950DA0">
            <w:pPr>
              <w:keepNext/>
              <w:keepLines/>
              <w:spacing w:after="0" w:line="240" w:lineRule="auto"/>
            </w:pPr>
            <w:r>
              <w:rPr>
                <w:sz w:val="18"/>
              </w:rPr>
              <w:t>Ostala prava</w:t>
            </w:r>
          </w:p>
        </w:tc>
        <w:tc>
          <w:tcPr>
            <w:tcW w:w="700" w:type="dxa"/>
            <w:tcMar>
              <w:top w:w="0" w:type="dxa"/>
              <w:bottom w:w="0" w:type="dxa"/>
            </w:tcMar>
            <w:vAlign w:val="center"/>
          </w:tcPr>
          <w:p w:rsidR="00526B0C" w:rsidRDefault="00950DA0">
            <w:pPr>
              <w:keepNext/>
              <w:keepLines/>
              <w:spacing w:after="0" w:line="240" w:lineRule="auto"/>
            </w:pPr>
            <w:r>
              <w:rPr>
                <w:sz w:val="18"/>
              </w:rPr>
              <w:t>4124</w:t>
            </w:r>
          </w:p>
        </w:tc>
        <w:tc>
          <w:tcPr>
            <w:tcW w:w="1860" w:type="dxa"/>
            <w:tcMar>
              <w:top w:w="0" w:type="dxa"/>
              <w:bottom w:w="0" w:type="dxa"/>
            </w:tcMar>
            <w:vAlign w:val="center"/>
          </w:tcPr>
          <w:p w:rsidR="00526B0C" w:rsidRDefault="00950DA0">
            <w:pPr>
              <w:keepNext/>
              <w:keepLines/>
              <w:spacing w:after="0" w:line="240" w:lineRule="auto"/>
              <w:jc w:val="right"/>
            </w:pPr>
            <w:r>
              <w:rPr>
                <w:sz w:val="18"/>
              </w:rPr>
              <w:t>112.714,89</w:t>
            </w:r>
          </w:p>
        </w:tc>
        <w:tc>
          <w:tcPr>
            <w:tcW w:w="1860" w:type="dxa"/>
            <w:tcMar>
              <w:top w:w="0" w:type="dxa"/>
              <w:bottom w:w="0" w:type="dxa"/>
            </w:tcMar>
            <w:vAlign w:val="center"/>
          </w:tcPr>
          <w:p w:rsidR="00526B0C" w:rsidRDefault="00950DA0">
            <w:pPr>
              <w:keepNext/>
              <w:keepLines/>
              <w:spacing w:after="0" w:line="240" w:lineRule="auto"/>
              <w:jc w:val="right"/>
            </w:pPr>
            <w:r>
              <w:rPr>
                <w:sz w:val="18"/>
              </w:rPr>
              <w:t>5.822.027,07</w:t>
            </w:r>
          </w:p>
        </w:tc>
        <w:tc>
          <w:tcPr>
            <w:tcW w:w="700" w:type="dxa"/>
            <w:tcMar>
              <w:top w:w="0" w:type="dxa"/>
              <w:bottom w:w="0" w:type="dxa"/>
            </w:tcMar>
            <w:vAlign w:val="center"/>
          </w:tcPr>
          <w:p w:rsidR="00526B0C" w:rsidRDefault="00950DA0">
            <w:pPr>
              <w:keepNext/>
              <w:keepLines/>
              <w:spacing w:after="0" w:line="240" w:lineRule="auto"/>
              <w:jc w:val="right"/>
            </w:pPr>
            <w:r>
              <w:rPr>
                <w:sz w:val="18"/>
              </w:rPr>
              <w:t>5165,3</w:t>
            </w:r>
          </w:p>
        </w:tc>
      </w:tr>
    </w:tbl>
    <w:p w:rsidR="00526B0C" w:rsidRDefault="00526B0C">
      <w:pPr>
        <w:spacing w:after="0"/>
      </w:pPr>
    </w:p>
    <w:p w:rsidR="00526B0C" w:rsidRDefault="00950DA0">
      <w:pPr>
        <w:jc w:val="both"/>
      </w:pPr>
      <w:r>
        <w:t>Najveće povećanje predmetnih rashoda ostvareno je kod proračunskog korisnika - Dom zdravlja PGŽ (2025. godina 0,00 eura - 2026. godina 2.874.453,71 eura), a odnosi se na ulaganja na tuđoj imovini radi prava korištenja za projekte energetske obnove Doma zdravlja Delnice, Crikvenica, i Ravna Gora te za rekonstrukciju i dogradnju Doma zdravlja Opatija.</w:t>
      </w:r>
    </w:p>
    <w:p w:rsidR="00526B0C" w:rsidRDefault="00950DA0">
      <w:pPr>
        <w:jc w:val="both"/>
      </w:pPr>
      <w:r>
        <w:t xml:space="preserve">Također, značajno je povećanje navedenih rashoda i kod proračunskog korisnika - </w:t>
      </w:r>
      <w:proofErr w:type="spellStart"/>
      <w:r>
        <w:t>Thalassotherapia</w:t>
      </w:r>
      <w:proofErr w:type="spellEnd"/>
      <w:r>
        <w:t xml:space="preserve"> Crikvenica (2025. godina 112.714,89 eura - 2026. godina 1.192.944,14 eura), a rezultat je izvršenih ulaganja u nekretnine u vlasništvu Primorsko-goranske županije u 2026. godini.</w:t>
      </w:r>
    </w:p>
    <w:p w:rsidR="00526B0C" w:rsidRDefault="00526B0C"/>
    <w:p w:rsidR="00526B0C" w:rsidRDefault="00950DA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4212</w:t>
            </w:r>
          </w:p>
        </w:tc>
        <w:tc>
          <w:tcPr>
            <w:tcW w:w="3180" w:type="dxa"/>
            <w:tcMar>
              <w:top w:w="0" w:type="dxa"/>
              <w:bottom w:w="0" w:type="dxa"/>
            </w:tcMar>
            <w:vAlign w:val="center"/>
          </w:tcPr>
          <w:p w:rsidR="00526B0C" w:rsidRDefault="00950DA0">
            <w:pPr>
              <w:keepNext/>
              <w:keepLines/>
              <w:spacing w:after="0" w:line="240" w:lineRule="auto"/>
            </w:pPr>
            <w:r>
              <w:rPr>
                <w:sz w:val="18"/>
              </w:rPr>
              <w:t>Poslovni objekti</w:t>
            </w:r>
          </w:p>
        </w:tc>
        <w:tc>
          <w:tcPr>
            <w:tcW w:w="700" w:type="dxa"/>
            <w:tcMar>
              <w:top w:w="0" w:type="dxa"/>
              <w:bottom w:w="0" w:type="dxa"/>
            </w:tcMar>
            <w:vAlign w:val="center"/>
          </w:tcPr>
          <w:p w:rsidR="00526B0C" w:rsidRDefault="00950DA0">
            <w:pPr>
              <w:keepNext/>
              <w:keepLines/>
              <w:spacing w:after="0" w:line="240" w:lineRule="auto"/>
            </w:pPr>
            <w:r>
              <w:rPr>
                <w:sz w:val="18"/>
              </w:rPr>
              <w:t>4212</w:t>
            </w:r>
          </w:p>
        </w:tc>
        <w:tc>
          <w:tcPr>
            <w:tcW w:w="1860" w:type="dxa"/>
            <w:tcMar>
              <w:top w:w="0" w:type="dxa"/>
              <w:bottom w:w="0" w:type="dxa"/>
            </w:tcMar>
            <w:vAlign w:val="center"/>
          </w:tcPr>
          <w:p w:rsidR="00526B0C" w:rsidRDefault="00950DA0">
            <w:pPr>
              <w:keepNext/>
              <w:keepLines/>
              <w:spacing w:after="0" w:line="240" w:lineRule="auto"/>
              <w:jc w:val="right"/>
            </w:pPr>
            <w:r>
              <w:rPr>
                <w:sz w:val="18"/>
              </w:rPr>
              <w:t>418.674,01</w:t>
            </w:r>
          </w:p>
        </w:tc>
        <w:tc>
          <w:tcPr>
            <w:tcW w:w="1860" w:type="dxa"/>
            <w:tcMar>
              <w:top w:w="0" w:type="dxa"/>
              <w:bottom w:w="0" w:type="dxa"/>
            </w:tcMar>
            <w:vAlign w:val="center"/>
          </w:tcPr>
          <w:p w:rsidR="00526B0C" w:rsidRDefault="00950DA0">
            <w:pPr>
              <w:keepNext/>
              <w:keepLines/>
              <w:spacing w:after="0" w:line="240" w:lineRule="auto"/>
              <w:jc w:val="right"/>
            </w:pPr>
            <w:r>
              <w:rPr>
                <w:sz w:val="18"/>
              </w:rPr>
              <w:t>5.400.937,56</w:t>
            </w:r>
          </w:p>
        </w:tc>
        <w:tc>
          <w:tcPr>
            <w:tcW w:w="700" w:type="dxa"/>
            <w:tcMar>
              <w:top w:w="0" w:type="dxa"/>
              <w:bottom w:w="0" w:type="dxa"/>
            </w:tcMar>
            <w:vAlign w:val="center"/>
          </w:tcPr>
          <w:p w:rsidR="00526B0C" w:rsidRDefault="00950DA0">
            <w:pPr>
              <w:keepNext/>
              <w:keepLines/>
              <w:spacing w:after="0" w:line="240" w:lineRule="auto"/>
              <w:jc w:val="right"/>
            </w:pPr>
            <w:r>
              <w:rPr>
                <w:sz w:val="18"/>
              </w:rPr>
              <w:t>1290,0</w:t>
            </w:r>
          </w:p>
        </w:tc>
      </w:tr>
    </w:tbl>
    <w:p w:rsidR="00526B0C" w:rsidRDefault="00526B0C">
      <w:pPr>
        <w:spacing w:after="0"/>
      </w:pPr>
    </w:p>
    <w:p w:rsidR="00526B0C" w:rsidRDefault="00950DA0">
      <w:pPr>
        <w:jc w:val="both"/>
      </w:pPr>
      <w:r>
        <w:t xml:space="preserve">Predmetno je rezultat povećanja rashoda kod Primorsko-goranske županije (2025. godina 418.674,01 eura – 2026. godina 5.163.937,56 eura), a najvećim djelom, navedeno se odnosi na povećanje rashoda ostvarenih u okviru kapitalnog projekta Zdravstveni centar </w:t>
      </w:r>
      <w:proofErr w:type="spellStart"/>
      <w:r>
        <w:t>Rujevica</w:t>
      </w:r>
      <w:proofErr w:type="spellEnd"/>
      <w:r>
        <w:t xml:space="preserve"> – Zapad, a koji su u izvještajnom razdoblju 2025. godine iznosili 394.782,01 eura, a u 2026. godini 2.866.317,95 eura.</w:t>
      </w:r>
    </w:p>
    <w:p w:rsidR="00526B0C" w:rsidRDefault="00526B0C"/>
    <w:p w:rsidR="00526B0C" w:rsidRDefault="00950DA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4224</w:t>
            </w:r>
          </w:p>
        </w:tc>
        <w:tc>
          <w:tcPr>
            <w:tcW w:w="3180" w:type="dxa"/>
            <w:tcMar>
              <w:top w:w="0" w:type="dxa"/>
              <w:bottom w:w="0" w:type="dxa"/>
            </w:tcMar>
            <w:vAlign w:val="center"/>
          </w:tcPr>
          <w:p w:rsidR="00526B0C" w:rsidRDefault="00950DA0">
            <w:pPr>
              <w:keepNext/>
              <w:keepLines/>
              <w:spacing w:after="0" w:line="240" w:lineRule="auto"/>
            </w:pPr>
            <w:r>
              <w:rPr>
                <w:sz w:val="18"/>
              </w:rPr>
              <w:t>Medicinska i laboratorijska oprema</w:t>
            </w:r>
          </w:p>
        </w:tc>
        <w:tc>
          <w:tcPr>
            <w:tcW w:w="700" w:type="dxa"/>
            <w:tcMar>
              <w:top w:w="0" w:type="dxa"/>
              <w:bottom w:w="0" w:type="dxa"/>
            </w:tcMar>
            <w:vAlign w:val="center"/>
          </w:tcPr>
          <w:p w:rsidR="00526B0C" w:rsidRDefault="00950DA0">
            <w:pPr>
              <w:keepNext/>
              <w:keepLines/>
              <w:spacing w:after="0" w:line="240" w:lineRule="auto"/>
            </w:pPr>
            <w:r>
              <w:rPr>
                <w:sz w:val="18"/>
              </w:rPr>
              <w:t>4224</w:t>
            </w:r>
          </w:p>
        </w:tc>
        <w:tc>
          <w:tcPr>
            <w:tcW w:w="1860" w:type="dxa"/>
            <w:tcMar>
              <w:top w:w="0" w:type="dxa"/>
              <w:bottom w:w="0" w:type="dxa"/>
            </w:tcMar>
            <w:vAlign w:val="center"/>
          </w:tcPr>
          <w:p w:rsidR="00526B0C" w:rsidRDefault="00950DA0">
            <w:pPr>
              <w:keepNext/>
              <w:keepLines/>
              <w:spacing w:after="0" w:line="240" w:lineRule="auto"/>
              <w:jc w:val="right"/>
            </w:pPr>
            <w:r>
              <w:rPr>
                <w:sz w:val="18"/>
              </w:rPr>
              <w:t>372.128,83</w:t>
            </w:r>
          </w:p>
        </w:tc>
        <w:tc>
          <w:tcPr>
            <w:tcW w:w="1860" w:type="dxa"/>
            <w:tcMar>
              <w:top w:w="0" w:type="dxa"/>
              <w:bottom w:w="0" w:type="dxa"/>
            </w:tcMar>
            <w:vAlign w:val="center"/>
          </w:tcPr>
          <w:p w:rsidR="00526B0C" w:rsidRDefault="00950DA0">
            <w:pPr>
              <w:keepNext/>
              <w:keepLines/>
              <w:spacing w:after="0" w:line="240" w:lineRule="auto"/>
              <w:jc w:val="right"/>
            </w:pPr>
            <w:r>
              <w:rPr>
                <w:sz w:val="18"/>
              </w:rPr>
              <w:t>882.837,87</w:t>
            </w:r>
          </w:p>
        </w:tc>
        <w:tc>
          <w:tcPr>
            <w:tcW w:w="700" w:type="dxa"/>
            <w:tcMar>
              <w:top w:w="0" w:type="dxa"/>
              <w:bottom w:w="0" w:type="dxa"/>
            </w:tcMar>
            <w:vAlign w:val="center"/>
          </w:tcPr>
          <w:p w:rsidR="00526B0C" w:rsidRDefault="00950DA0">
            <w:pPr>
              <w:keepNext/>
              <w:keepLines/>
              <w:spacing w:after="0" w:line="240" w:lineRule="auto"/>
              <w:jc w:val="right"/>
            </w:pPr>
            <w:r>
              <w:rPr>
                <w:sz w:val="18"/>
              </w:rPr>
              <w:t>237,2</w:t>
            </w:r>
          </w:p>
        </w:tc>
      </w:tr>
    </w:tbl>
    <w:p w:rsidR="00526B0C" w:rsidRDefault="00526B0C">
      <w:pPr>
        <w:spacing w:after="0"/>
      </w:pPr>
    </w:p>
    <w:p w:rsidR="00526B0C" w:rsidRDefault="00950DA0">
      <w:pPr>
        <w:jc w:val="both"/>
      </w:pPr>
      <w:r>
        <w:t xml:space="preserve">Najveće povećanje je kod proračunskog korisnika – Dom zdravlja PGŽ (2025. godina 28.490,40 eura – 2026. godina 612.494,30 eura), a rezultat je, u najvećoj mjeri, rashoda za nabavu </w:t>
      </w:r>
      <w:proofErr w:type="spellStart"/>
      <w:r>
        <w:t>mamografskih</w:t>
      </w:r>
      <w:proofErr w:type="spellEnd"/>
      <w:r>
        <w:t xml:space="preserve"> uređaja, ultrazvučnog uređaja, te nabavku sonde za ultrazvučni uređaj u izvještajnom razdoblju 2026. godine. </w:t>
      </w:r>
    </w:p>
    <w:p w:rsidR="00526B0C" w:rsidRDefault="00526B0C"/>
    <w:p w:rsidR="00526B0C" w:rsidRDefault="00950DA0">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4231</w:t>
            </w:r>
          </w:p>
        </w:tc>
        <w:tc>
          <w:tcPr>
            <w:tcW w:w="3180" w:type="dxa"/>
            <w:tcMar>
              <w:top w:w="0" w:type="dxa"/>
              <w:bottom w:w="0" w:type="dxa"/>
            </w:tcMar>
            <w:vAlign w:val="center"/>
          </w:tcPr>
          <w:p w:rsidR="00526B0C" w:rsidRDefault="00950DA0">
            <w:pPr>
              <w:keepNext/>
              <w:keepLines/>
              <w:spacing w:after="0" w:line="240" w:lineRule="auto"/>
            </w:pPr>
            <w:r>
              <w:rPr>
                <w:sz w:val="18"/>
              </w:rPr>
              <w:t>Prijevozna sredstva u cestovnom prometu</w:t>
            </w:r>
          </w:p>
        </w:tc>
        <w:tc>
          <w:tcPr>
            <w:tcW w:w="700" w:type="dxa"/>
            <w:tcMar>
              <w:top w:w="0" w:type="dxa"/>
              <w:bottom w:w="0" w:type="dxa"/>
            </w:tcMar>
            <w:vAlign w:val="center"/>
          </w:tcPr>
          <w:p w:rsidR="00526B0C" w:rsidRDefault="00950DA0">
            <w:pPr>
              <w:keepNext/>
              <w:keepLines/>
              <w:spacing w:after="0" w:line="240" w:lineRule="auto"/>
            </w:pPr>
            <w:r>
              <w:rPr>
                <w:sz w:val="18"/>
              </w:rPr>
              <w:t>4231</w:t>
            </w:r>
          </w:p>
        </w:tc>
        <w:tc>
          <w:tcPr>
            <w:tcW w:w="1860" w:type="dxa"/>
            <w:tcMar>
              <w:top w:w="0" w:type="dxa"/>
              <w:bottom w:w="0" w:type="dxa"/>
            </w:tcMar>
            <w:vAlign w:val="center"/>
          </w:tcPr>
          <w:p w:rsidR="00526B0C" w:rsidRDefault="00950DA0">
            <w:pPr>
              <w:keepNext/>
              <w:keepLines/>
              <w:spacing w:after="0" w:line="240" w:lineRule="auto"/>
              <w:jc w:val="right"/>
            </w:pPr>
            <w:r>
              <w:rPr>
                <w:sz w:val="18"/>
              </w:rPr>
              <w:t>1.421.969,81</w:t>
            </w:r>
          </w:p>
        </w:tc>
        <w:tc>
          <w:tcPr>
            <w:tcW w:w="1860" w:type="dxa"/>
            <w:tcMar>
              <w:top w:w="0" w:type="dxa"/>
              <w:bottom w:w="0" w:type="dxa"/>
            </w:tcMar>
            <w:vAlign w:val="center"/>
          </w:tcPr>
          <w:p w:rsidR="00526B0C" w:rsidRDefault="00950DA0">
            <w:pPr>
              <w:keepNext/>
              <w:keepLines/>
              <w:spacing w:after="0" w:line="240" w:lineRule="auto"/>
              <w:jc w:val="right"/>
            </w:pPr>
            <w:r>
              <w:rPr>
                <w:sz w:val="18"/>
              </w:rPr>
              <w:t>491.064,44</w:t>
            </w:r>
          </w:p>
        </w:tc>
        <w:tc>
          <w:tcPr>
            <w:tcW w:w="700" w:type="dxa"/>
            <w:tcMar>
              <w:top w:w="0" w:type="dxa"/>
              <w:bottom w:w="0" w:type="dxa"/>
            </w:tcMar>
            <w:vAlign w:val="center"/>
          </w:tcPr>
          <w:p w:rsidR="00526B0C" w:rsidRDefault="00950DA0">
            <w:pPr>
              <w:keepNext/>
              <w:keepLines/>
              <w:spacing w:after="0" w:line="240" w:lineRule="auto"/>
              <w:jc w:val="right"/>
            </w:pPr>
            <w:r>
              <w:rPr>
                <w:sz w:val="18"/>
              </w:rPr>
              <w:t>34,5</w:t>
            </w:r>
          </w:p>
        </w:tc>
      </w:tr>
    </w:tbl>
    <w:p w:rsidR="00526B0C" w:rsidRDefault="00526B0C">
      <w:pPr>
        <w:spacing w:after="0"/>
      </w:pPr>
    </w:p>
    <w:p w:rsidR="00526B0C" w:rsidRDefault="00950DA0">
      <w:pPr>
        <w:jc w:val="both"/>
      </w:pPr>
      <w:r>
        <w:t>Predmetno odstupanje, rezultat je smanjenja rashoda kod proračunskog korisnika – Zavod za hitnu medicinu PGŽ (2025. godina 1.187.475,00 eura – 2026. godina 318.750,00 eura), a koji je u izvještajnom razdoblju prethodne godine ostvario rashode za nabavu 3 vozila za potrebe sanitetskog prijevoza.</w:t>
      </w:r>
    </w:p>
    <w:p w:rsidR="00526B0C" w:rsidRDefault="00526B0C"/>
    <w:p w:rsidR="00526B0C" w:rsidRDefault="00950DA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451</w:t>
            </w:r>
          </w:p>
        </w:tc>
        <w:tc>
          <w:tcPr>
            <w:tcW w:w="3180" w:type="dxa"/>
            <w:tcMar>
              <w:top w:w="0" w:type="dxa"/>
              <w:bottom w:w="0" w:type="dxa"/>
            </w:tcMar>
            <w:vAlign w:val="center"/>
          </w:tcPr>
          <w:p w:rsidR="00526B0C" w:rsidRDefault="00950DA0">
            <w:pPr>
              <w:keepNext/>
              <w:keepLines/>
              <w:spacing w:after="0" w:line="240" w:lineRule="auto"/>
            </w:pPr>
            <w:r>
              <w:rPr>
                <w:sz w:val="18"/>
              </w:rPr>
              <w:t>Dodatna ulaganja na građevinskim objektima</w:t>
            </w:r>
          </w:p>
        </w:tc>
        <w:tc>
          <w:tcPr>
            <w:tcW w:w="700" w:type="dxa"/>
            <w:tcMar>
              <w:top w:w="0" w:type="dxa"/>
              <w:bottom w:w="0" w:type="dxa"/>
            </w:tcMar>
            <w:vAlign w:val="center"/>
          </w:tcPr>
          <w:p w:rsidR="00526B0C" w:rsidRDefault="00950DA0">
            <w:pPr>
              <w:keepNext/>
              <w:keepLines/>
              <w:spacing w:after="0" w:line="240" w:lineRule="auto"/>
            </w:pPr>
            <w:r>
              <w:rPr>
                <w:sz w:val="18"/>
              </w:rPr>
              <w:t>451</w:t>
            </w:r>
          </w:p>
        </w:tc>
        <w:tc>
          <w:tcPr>
            <w:tcW w:w="1860" w:type="dxa"/>
            <w:tcMar>
              <w:top w:w="0" w:type="dxa"/>
              <w:bottom w:w="0" w:type="dxa"/>
            </w:tcMar>
            <w:vAlign w:val="center"/>
          </w:tcPr>
          <w:p w:rsidR="00526B0C" w:rsidRDefault="00950DA0">
            <w:pPr>
              <w:keepNext/>
              <w:keepLines/>
              <w:spacing w:after="0" w:line="240" w:lineRule="auto"/>
              <w:jc w:val="right"/>
            </w:pPr>
            <w:r>
              <w:rPr>
                <w:sz w:val="18"/>
              </w:rPr>
              <w:t>4.724.454,16</w:t>
            </w:r>
          </w:p>
        </w:tc>
        <w:tc>
          <w:tcPr>
            <w:tcW w:w="1860" w:type="dxa"/>
            <w:tcMar>
              <w:top w:w="0" w:type="dxa"/>
              <w:bottom w:w="0" w:type="dxa"/>
            </w:tcMar>
            <w:vAlign w:val="center"/>
          </w:tcPr>
          <w:p w:rsidR="00526B0C" w:rsidRDefault="00950DA0">
            <w:pPr>
              <w:keepNext/>
              <w:keepLines/>
              <w:spacing w:after="0" w:line="240" w:lineRule="auto"/>
              <w:jc w:val="right"/>
            </w:pPr>
            <w:r>
              <w:rPr>
                <w:sz w:val="18"/>
              </w:rPr>
              <w:t>7.641.212,56</w:t>
            </w:r>
          </w:p>
        </w:tc>
        <w:tc>
          <w:tcPr>
            <w:tcW w:w="700" w:type="dxa"/>
            <w:tcMar>
              <w:top w:w="0" w:type="dxa"/>
              <w:bottom w:w="0" w:type="dxa"/>
            </w:tcMar>
            <w:vAlign w:val="center"/>
          </w:tcPr>
          <w:p w:rsidR="00526B0C" w:rsidRDefault="00950DA0">
            <w:pPr>
              <w:keepNext/>
              <w:keepLines/>
              <w:spacing w:after="0" w:line="240" w:lineRule="auto"/>
              <w:jc w:val="right"/>
            </w:pPr>
            <w:r>
              <w:rPr>
                <w:sz w:val="18"/>
              </w:rPr>
              <w:t>161,7</w:t>
            </w:r>
          </w:p>
        </w:tc>
      </w:tr>
    </w:tbl>
    <w:p w:rsidR="00526B0C" w:rsidRDefault="00526B0C">
      <w:pPr>
        <w:spacing w:after="0"/>
      </w:pPr>
    </w:p>
    <w:p w:rsidR="00526B0C" w:rsidRDefault="00950DA0">
      <w:pPr>
        <w:jc w:val="both"/>
      </w:pPr>
      <w:r>
        <w:t>Navedeno odstupanje, najvećim dijelom, rezultat je povećanja rashoda kod proračunskog korisnika – Pomorski i povijesni muzej hrvatskog primorja (2025. godina 0,00 eura – 2026. godina 4.779.518,78 eura), a odnosi na radove na projektu Energetske obnove Guvernerove palače u Rijeci.</w:t>
      </w:r>
    </w:p>
    <w:p w:rsidR="00526B0C" w:rsidRDefault="00526B0C"/>
    <w:p w:rsidR="00526B0C" w:rsidRDefault="00950DA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8422</w:t>
            </w:r>
          </w:p>
        </w:tc>
        <w:tc>
          <w:tcPr>
            <w:tcW w:w="3180" w:type="dxa"/>
            <w:tcMar>
              <w:top w:w="0" w:type="dxa"/>
              <w:bottom w:w="0" w:type="dxa"/>
            </w:tcMar>
            <w:vAlign w:val="center"/>
          </w:tcPr>
          <w:p w:rsidR="00526B0C" w:rsidRDefault="00950DA0">
            <w:pPr>
              <w:keepNext/>
              <w:keepLines/>
              <w:spacing w:after="0" w:line="240" w:lineRule="auto"/>
            </w:pPr>
            <w:r>
              <w:rPr>
                <w:sz w:val="18"/>
              </w:rPr>
              <w:t>Primljeni krediti od kreditnih institucija u javnom sektoru</w:t>
            </w:r>
          </w:p>
        </w:tc>
        <w:tc>
          <w:tcPr>
            <w:tcW w:w="700" w:type="dxa"/>
            <w:tcMar>
              <w:top w:w="0" w:type="dxa"/>
              <w:bottom w:w="0" w:type="dxa"/>
            </w:tcMar>
            <w:vAlign w:val="center"/>
          </w:tcPr>
          <w:p w:rsidR="00526B0C" w:rsidRDefault="00950DA0">
            <w:pPr>
              <w:keepNext/>
              <w:keepLines/>
              <w:spacing w:after="0" w:line="240" w:lineRule="auto"/>
            </w:pPr>
            <w:r>
              <w:rPr>
                <w:sz w:val="18"/>
              </w:rPr>
              <w:t>8422</w:t>
            </w:r>
          </w:p>
        </w:tc>
        <w:tc>
          <w:tcPr>
            <w:tcW w:w="1860" w:type="dxa"/>
            <w:tcMar>
              <w:top w:w="0" w:type="dxa"/>
              <w:bottom w:w="0" w:type="dxa"/>
            </w:tcMar>
            <w:vAlign w:val="center"/>
          </w:tcPr>
          <w:p w:rsidR="00526B0C" w:rsidRDefault="00950DA0">
            <w:pPr>
              <w:keepNext/>
              <w:keepLines/>
              <w:spacing w:after="0" w:line="240" w:lineRule="auto"/>
              <w:jc w:val="right"/>
            </w:pPr>
            <w:r>
              <w:rPr>
                <w:sz w:val="18"/>
              </w:rPr>
              <w:t>312.995,61</w:t>
            </w:r>
          </w:p>
        </w:tc>
        <w:tc>
          <w:tcPr>
            <w:tcW w:w="1860" w:type="dxa"/>
            <w:tcMar>
              <w:top w:w="0" w:type="dxa"/>
              <w:bottom w:w="0" w:type="dxa"/>
            </w:tcMar>
            <w:vAlign w:val="center"/>
          </w:tcPr>
          <w:p w:rsidR="00526B0C" w:rsidRDefault="00950DA0">
            <w:pPr>
              <w:keepNext/>
              <w:keepLines/>
              <w:spacing w:after="0" w:line="240" w:lineRule="auto"/>
              <w:jc w:val="right"/>
            </w:pPr>
            <w:r>
              <w:rPr>
                <w:sz w:val="18"/>
              </w:rPr>
              <w:t>2.102.499,51</w:t>
            </w:r>
          </w:p>
        </w:tc>
        <w:tc>
          <w:tcPr>
            <w:tcW w:w="700" w:type="dxa"/>
            <w:tcMar>
              <w:top w:w="0" w:type="dxa"/>
              <w:bottom w:w="0" w:type="dxa"/>
            </w:tcMar>
            <w:vAlign w:val="center"/>
          </w:tcPr>
          <w:p w:rsidR="00526B0C" w:rsidRDefault="00950DA0">
            <w:pPr>
              <w:keepNext/>
              <w:keepLines/>
              <w:spacing w:after="0" w:line="240" w:lineRule="auto"/>
              <w:jc w:val="right"/>
            </w:pPr>
            <w:r>
              <w:rPr>
                <w:sz w:val="18"/>
              </w:rPr>
              <w:t>671,7</w:t>
            </w:r>
          </w:p>
        </w:tc>
      </w:tr>
    </w:tbl>
    <w:p w:rsidR="00526B0C" w:rsidRDefault="00526B0C">
      <w:pPr>
        <w:spacing w:after="0"/>
      </w:pPr>
    </w:p>
    <w:p w:rsidR="00526B0C" w:rsidRDefault="00950DA0">
      <w:pPr>
        <w:jc w:val="both"/>
      </w:pPr>
      <w:r>
        <w:t xml:space="preserve">Za realizaciju kapitalnog projekta Zdravstveni centar </w:t>
      </w:r>
      <w:proofErr w:type="spellStart"/>
      <w:r>
        <w:t>Rujevica</w:t>
      </w:r>
      <w:proofErr w:type="spellEnd"/>
      <w:r>
        <w:t xml:space="preserve"> – Zapad, Županija je 2024. godine sklopila Ugovor o dugoročnom kreditu sa Hrvatskom bankom za obnovu i razvitak (HABOR) te je u drugom kvartalu 2025. godine započelo korištenje sredstava kredita. Ukupno korištena sredstva kredita u izvještajnom razdoblju 2025. godine iznose 312.995,61 eura, a u 2026. godini 2.102.499,51 eura.</w:t>
      </w:r>
    </w:p>
    <w:p w:rsidR="00526B0C" w:rsidRDefault="00526B0C"/>
    <w:p w:rsidR="00526B0C" w:rsidRDefault="00950DA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8443</w:t>
            </w:r>
          </w:p>
        </w:tc>
        <w:tc>
          <w:tcPr>
            <w:tcW w:w="3180" w:type="dxa"/>
            <w:tcMar>
              <w:top w:w="0" w:type="dxa"/>
              <w:bottom w:w="0" w:type="dxa"/>
            </w:tcMar>
            <w:vAlign w:val="center"/>
          </w:tcPr>
          <w:p w:rsidR="00526B0C" w:rsidRDefault="00950DA0">
            <w:pPr>
              <w:keepNext/>
              <w:keepLines/>
              <w:spacing w:after="0" w:line="240" w:lineRule="auto"/>
            </w:pPr>
            <w:r>
              <w:rPr>
                <w:sz w:val="18"/>
              </w:rPr>
              <w:t>Primljeni krediti od tuzemnih kreditnih institucija izvan javnog sektora</w:t>
            </w:r>
          </w:p>
        </w:tc>
        <w:tc>
          <w:tcPr>
            <w:tcW w:w="700" w:type="dxa"/>
            <w:tcMar>
              <w:top w:w="0" w:type="dxa"/>
              <w:bottom w:w="0" w:type="dxa"/>
            </w:tcMar>
            <w:vAlign w:val="center"/>
          </w:tcPr>
          <w:p w:rsidR="00526B0C" w:rsidRDefault="00950DA0">
            <w:pPr>
              <w:keepNext/>
              <w:keepLines/>
              <w:spacing w:after="0" w:line="240" w:lineRule="auto"/>
            </w:pPr>
            <w:r>
              <w:rPr>
                <w:sz w:val="18"/>
              </w:rPr>
              <w:t>8443</w:t>
            </w:r>
          </w:p>
        </w:tc>
        <w:tc>
          <w:tcPr>
            <w:tcW w:w="1860" w:type="dxa"/>
            <w:tcMar>
              <w:top w:w="0" w:type="dxa"/>
              <w:bottom w:w="0" w:type="dxa"/>
            </w:tcMar>
            <w:vAlign w:val="center"/>
          </w:tcPr>
          <w:p w:rsidR="00526B0C" w:rsidRDefault="00950DA0">
            <w:pPr>
              <w:keepNext/>
              <w:keepLines/>
              <w:spacing w:after="0" w:line="240" w:lineRule="auto"/>
              <w:jc w:val="right"/>
            </w:pPr>
            <w:r>
              <w:rPr>
                <w:sz w:val="18"/>
              </w:rPr>
              <w:t>1.573.753,33</w:t>
            </w:r>
          </w:p>
        </w:tc>
        <w:tc>
          <w:tcPr>
            <w:tcW w:w="1860" w:type="dxa"/>
            <w:tcMar>
              <w:top w:w="0" w:type="dxa"/>
              <w:bottom w:w="0" w:type="dxa"/>
            </w:tcMar>
            <w:vAlign w:val="center"/>
          </w:tcPr>
          <w:p w:rsidR="00526B0C" w:rsidRDefault="00950DA0">
            <w:pPr>
              <w:keepNext/>
              <w:keepLines/>
              <w:spacing w:after="0" w:line="240" w:lineRule="auto"/>
              <w:jc w:val="right"/>
            </w:pPr>
            <w:r>
              <w:rPr>
                <w:sz w:val="18"/>
              </w:rPr>
              <w:t>1.000.000,00</w:t>
            </w:r>
          </w:p>
        </w:tc>
        <w:tc>
          <w:tcPr>
            <w:tcW w:w="700" w:type="dxa"/>
            <w:tcMar>
              <w:top w:w="0" w:type="dxa"/>
              <w:bottom w:w="0" w:type="dxa"/>
            </w:tcMar>
            <w:vAlign w:val="center"/>
          </w:tcPr>
          <w:p w:rsidR="00526B0C" w:rsidRDefault="00950DA0">
            <w:pPr>
              <w:keepNext/>
              <w:keepLines/>
              <w:spacing w:after="0" w:line="240" w:lineRule="auto"/>
              <w:jc w:val="right"/>
            </w:pPr>
            <w:r>
              <w:rPr>
                <w:sz w:val="18"/>
              </w:rPr>
              <w:t>63,5</w:t>
            </w:r>
          </w:p>
        </w:tc>
      </w:tr>
    </w:tbl>
    <w:p w:rsidR="00526B0C" w:rsidRDefault="00526B0C">
      <w:pPr>
        <w:spacing w:after="0"/>
      </w:pPr>
    </w:p>
    <w:p w:rsidR="00526B0C" w:rsidRDefault="00950DA0">
      <w:pPr>
        <w:jc w:val="both"/>
      </w:pPr>
      <w:r>
        <w:lastRenderedPageBreak/>
        <w:t>Navedeni primitak u 2025. godini u iznosu od 1.573.753,33 eura ostvario je proračunski korisnik – Dom za starije osobe Mali Kartec Krk, koji je u 2025. godini temeljem sklopljenog ugovora sa poslovnom bankom koristio kratkoročni kredit, odnosno odobreni minus po žiro-računu (veza: šifra 5443).</w:t>
      </w:r>
    </w:p>
    <w:p w:rsidR="00526B0C" w:rsidRDefault="00950DA0">
      <w:pPr>
        <w:jc w:val="both"/>
      </w:pPr>
      <w:r>
        <w:t xml:space="preserve">U 2026. godini, predmetni primitak u iznosu od 1.000.000,00 eura ostvario je proračunski korisnik - </w:t>
      </w:r>
      <w:proofErr w:type="spellStart"/>
      <w:r>
        <w:t>Thalassotherapia</w:t>
      </w:r>
      <w:proofErr w:type="spellEnd"/>
      <w:r>
        <w:t xml:space="preserve"> Crikvenica, temeljem sklopljenog Ugovora o kreditu, a za financiranje ulaganja u modernizaciju smještajnih kapaciteta.</w:t>
      </w:r>
    </w:p>
    <w:p w:rsidR="00526B0C" w:rsidRDefault="00526B0C"/>
    <w:p w:rsidR="00526B0C" w:rsidRDefault="00950DA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950DA0">
            <w:pPr>
              <w:keepNext/>
              <w:keepLines/>
              <w:spacing w:after="0" w:line="240" w:lineRule="auto"/>
            </w:pPr>
            <w:r>
              <w:rPr>
                <w:sz w:val="18"/>
              </w:rPr>
              <w:t>5443</w:t>
            </w:r>
          </w:p>
        </w:tc>
        <w:tc>
          <w:tcPr>
            <w:tcW w:w="3180" w:type="dxa"/>
            <w:tcMar>
              <w:top w:w="0" w:type="dxa"/>
              <w:bottom w:w="0" w:type="dxa"/>
            </w:tcMar>
            <w:vAlign w:val="center"/>
          </w:tcPr>
          <w:p w:rsidR="00526B0C" w:rsidRDefault="00950DA0">
            <w:pPr>
              <w:keepNext/>
              <w:keepLines/>
              <w:spacing w:after="0" w:line="240" w:lineRule="auto"/>
            </w:pPr>
            <w:r>
              <w:rPr>
                <w:sz w:val="18"/>
              </w:rPr>
              <w:t>Otplata glavnice primljenih kredita od tuzemnih kreditnih institucija izvan javnog sektora</w:t>
            </w:r>
          </w:p>
        </w:tc>
        <w:tc>
          <w:tcPr>
            <w:tcW w:w="700" w:type="dxa"/>
            <w:tcMar>
              <w:top w:w="0" w:type="dxa"/>
              <w:bottom w:w="0" w:type="dxa"/>
            </w:tcMar>
            <w:vAlign w:val="center"/>
          </w:tcPr>
          <w:p w:rsidR="00526B0C" w:rsidRDefault="00950DA0">
            <w:pPr>
              <w:keepNext/>
              <w:keepLines/>
              <w:spacing w:after="0" w:line="240" w:lineRule="auto"/>
            </w:pPr>
            <w:r>
              <w:rPr>
                <w:sz w:val="18"/>
              </w:rPr>
              <w:t>5443</w:t>
            </w:r>
          </w:p>
        </w:tc>
        <w:tc>
          <w:tcPr>
            <w:tcW w:w="1860" w:type="dxa"/>
            <w:tcMar>
              <w:top w:w="0" w:type="dxa"/>
              <w:bottom w:w="0" w:type="dxa"/>
            </w:tcMar>
            <w:vAlign w:val="center"/>
          </w:tcPr>
          <w:p w:rsidR="00526B0C" w:rsidRDefault="00950DA0">
            <w:pPr>
              <w:keepNext/>
              <w:keepLines/>
              <w:spacing w:after="0" w:line="240" w:lineRule="auto"/>
              <w:jc w:val="right"/>
            </w:pPr>
            <w:r>
              <w:rPr>
                <w:sz w:val="18"/>
              </w:rPr>
              <w:t>2.238.591,38</w:t>
            </w:r>
          </w:p>
        </w:tc>
        <w:tc>
          <w:tcPr>
            <w:tcW w:w="1860" w:type="dxa"/>
            <w:tcMar>
              <w:top w:w="0" w:type="dxa"/>
              <w:bottom w:w="0" w:type="dxa"/>
            </w:tcMar>
            <w:vAlign w:val="center"/>
          </w:tcPr>
          <w:p w:rsidR="00526B0C" w:rsidRDefault="00950DA0">
            <w:pPr>
              <w:keepNext/>
              <w:keepLines/>
              <w:spacing w:after="0" w:line="240" w:lineRule="auto"/>
              <w:jc w:val="right"/>
            </w:pPr>
            <w:r>
              <w:rPr>
                <w:sz w:val="18"/>
              </w:rPr>
              <w:t>478.099,74</w:t>
            </w:r>
          </w:p>
        </w:tc>
        <w:tc>
          <w:tcPr>
            <w:tcW w:w="700" w:type="dxa"/>
            <w:tcMar>
              <w:top w:w="0" w:type="dxa"/>
              <w:bottom w:w="0" w:type="dxa"/>
            </w:tcMar>
            <w:vAlign w:val="center"/>
          </w:tcPr>
          <w:p w:rsidR="00526B0C" w:rsidRDefault="00950DA0">
            <w:pPr>
              <w:keepNext/>
              <w:keepLines/>
              <w:spacing w:after="0" w:line="240" w:lineRule="auto"/>
              <w:jc w:val="right"/>
            </w:pPr>
            <w:r>
              <w:rPr>
                <w:sz w:val="18"/>
              </w:rPr>
              <w:t>21,4</w:t>
            </w:r>
          </w:p>
        </w:tc>
      </w:tr>
    </w:tbl>
    <w:p w:rsidR="00526B0C" w:rsidRDefault="00526B0C">
      <w:pPr>
        <w:spacing w:after="0"/>
      </w:pPr>
    </w:p>
    <w:p w:rsidR="00526B0C" w:rsidRDefault="00950DA0">
      <w:pPr>
        <w:jc w:val="both"/>
      </w:pPr>
      <w:r>
        <w:t>Navedeno odstupanje, u najvećoj mjeri, rezultat je smanjenja predmetnih izdataka kod proračunskog korisnika – Dom za starije osobe Mali Kartec (2025. godina 1.573.753,33 eura – 2026. godina 0,00 eura), koji je u 2025. godini temeljem sklopljenog ugovora sa poslovnom bankom koristio kratkoročni kredit, odnosno odobreni minus po žiro-računu za financiranje EU projekta Energetska obnova objekta Doma (veza šifra 8443).</w:t>
      </w:r>
    </w:p>
    <w:p w:rsidR="00526B0C" w:rsidRDefault="00526B0C"/>
    <w:p w:rsidR="00526B0C" w:rsidRDefault="00950DA0">
      <w:pPr>
        <w:keepNext/>
        <w:spacing w:line="240" w:lineRule="auto"/>
        <w:jc w:val="center"/>
      </w:pPr>
      <w:r>
        <w:rPr>
          <w:b/>
          <w:sz w:val="28"/>
        </w:rPr>
        <w:t>Izvještaj o obvezama</w:t>
      </w:r>
    </w:p>
    <w:p w:rsidR="00526B0C" w:rsidRDefault="00950DA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526B0C">
        <w:trPr>
          <w:cantSplit/>
        </w:trPr>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526B0C" w:rsidRDefault="00950DA0">
            <w:pPr>
              <w:keepNext/>
              <w:keepLines/>
              <w:spacing w:after="0" w:line="240" w:lineRule="auto"/>
              <w:jc w:val="center"/>
            </w:pPr>
            <w:r>
              <w:rPr>
                <w:b/>
                <w:sz w:val="18"/>
              </w:rPr>
              <w:t>Indeks (%)</w:t>
            </w:r>
          </w:p>
        </w:tc>
      </w:tr>
      <w:tr w:rsidR="00526B0C">
        <w:trPr>
          <w:cantSplit/>
          <w:trHeight w:val="560"/>
        </w:trPr>
        <w:tc>
          <w:tcPr>
            <w:tcW w:w="700" w:type="dxa"/>
            <w:tcMar>
              <w:top w:w="0" w:type="dxa"/>
              <w:bottom w:w="0" w:type="dxa"/>
            </w:tcMar>
            <w:vAlign w:val="center"/>
          </w:tcPr>
          <w:p w:rsidR="00526B0C" w:rsidRDefault="00526B0C">
            <w:pPr>
              <w:keepNext/>
              <w:keepLines/>
              <w:spacing w:after="0" w:line="240" w:lineRule="auto"/>
            </w:pPr>
          </w:p>
        </w:tc>
        <w:tc>
          <w:tcPr>
            <w:tcW w:w="3180" w:type="dxa"/>
            <w:tcMar>
              <w:top w:w="0" w:type="dxa"/>
              <w:bottom w:w="0" w:type="dxa"/>
            </w:tcMar>
            <w:vAlign w:val="center"/>
          </w:tcPr>
          <w:p w:rsidR="00526B0C" w:rsidRDefault="00950DA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526B0C" w:rsidRDefault="00950DA0">
            <w:pPr>
              <w:keepNext/>
              <w:keepLines/>
              <w:spacing w:after="0" w:line="240" w:lineRule="auto"/>
            </w:pPr>
            <w:r>
              <w:rPr>
                <w:sz w:val="18"/>
              </w:rPr>
              <w:t>V007</w:t>
            </w:r>
          </w:p>
        </w:tc>
        <w:tc>
          <w:tcPr>
            <w:tcW w:w="1860" w:type="dxa"/>
            <w:tcMar>
              <w:top w:w="0" w:type="dxa"/>
              <w:bottom w:w="0" w:type="dxa"/>
            </w:tcMar>
            <w:vAlign w:val="center"/>
          </w:tcPr>
          <w:p w:rsidR="00526B0C" w:rsidRDefault="00950DA0">
            <w:pPr>
              <w:keepNext/>
              <w:keepLines/>
              <w:spacing w:after="0" w:line="240" w:lineRule="auto"/>
              <w:jc w:val="right"/>
            </w:pPr>
            <w:r>
              <w:rPr>
                <w:sz w:val="18"/>
              </w:rPr>
              <w:t>1.959.691,54</w:t>
            </w:r>
          </w:p>
        </w:tc>
        <w:tc>
          <w:tcPr>
            <w:tcW w:w="700" w:type="dxa"/>
            <w:tcMar>
              <w:top w:w="0" w:type="dxa"/>
              <w:bottom w:w="0" w:type="dxa"/>
            </w:tcMar>
            <w:vAlign w:val="center"/>
          </w:tcPr>
          <w:p w:rsidR="00526B0C" w:rsidRDefault="00950DA0">
            <w:pPr>
              <w:keepNext/>
              <w:keepLines/>
              <w:spacing w:after="0" w:line="240" w:lineRule="auto"/>
              <w:jc w:val="right"/>
            </w:pPr>
            <w:r>
              <w:rPr>
                <w:sz w:val="18"/>
              </w:rPr>
              <w:t>-</w:t>
            </w:r>
          </w:p>
        </w:tc>
      </w:tr>
    </w:tbl>
    <w:p w:rsidR="00526B0C" w:rsidRDefault="00526B0C">
      <w:pPr>
        <w:spacing w:after="0"/>
      </w:pPr>
    </w:p>
    <w:p w:rsidR="00526B0C" w:rsidRDefault="00950DA0">
      <w:pPr>
        <w:jc w:val="both"/>
      </w:pPr>
      <w:r>
        <w:t>Stanje dospjelih obveza na kraju izvještajnog razdoblja iznosi 1.959.691,54 eura, a najvećim djelom odnose se na proračunske korisnike – zdravstvene ustanove čije dospjele obveze iznose ukupno 1.382.998,39 eura. </w:t>
      </w:r>
    </w:p>
    <w:p w:rsidR="00526B0C" w:rsidRDefault="00526B0C"/>
    <w:p w:rsidR="00526B0C" w:rsidRDefault="00950DA0">
      <w:pPr>
        <w:keepNext/>
        <w:spacing w:line="240" w:lineRule="auto"/>
        <w:jc w:val="center"/>
      </w:pPr>
      <w:r>
        <w:rPr>
          <w:sz w:val="28"/>
        </w:rPr>
        <w:t>Bilješka 25.</w:t>
      </w:r>
    </w:p>
    <w:p w:rsidR="00526B0C" w:rsidRDefault="00950DA0">
      <w:pPr>
        <w:spacing w:line="240" w:lineRule="auto"/>
        <w:jc w:val="both"/>
      </w:pPr>
      <w:proofErr w:type="spellStart"/>
      <w:r>
        <w:rPr>
          <w:b/>
        </w:rPr>
        <w:t>Unutargrupne</w:t>
      </w:r>
      <w:proofErr w:type="spellEnd"/>
      <w:r>
        <w:rPr>
          <w:b/>
        </w:rPr>
        <w:t xml:space="preserve"> transakcije koje su u izvještajima eliminirane</w:t>
      </w:r>
    </w:p>
    <w:p w:rsidR="00526B0C" w:rsidRDefault="00950DA0">
      <w:r>
        <w:rPr>
          <w:b/>
        </w:rPr>
        <w:t>1.)    IZVJEŠTAJ O PRIHODIMA I RASHODIMA, PRIMICIMA I IZDACIMA</w:t>
      </w:r>
    </w:p>
    <w:p w:rsidR="00526B0C" w:rsidRDefault="00950DA0">
      <w:pPr>
        <w:jc w:val="both"/>
      </w:pPr>
      <w:r>
        <w:t xml:space="preserve">U konsolidiranom Izvještaju eliminirane su sljedeće </w:t>
      </w:r>
      <w:proofErr w:type="spellStart"/>
      <w:r>
        <w:t>unutargrupne</w:t>
      </w:r>
      <w:proofErr w:type="spellEnd"/>
      <w:r>
        <w:t xml:space="preserve"> transakcije:</w:t>
      </w:r>
    </w:p>
    <w:p w:rsidR="00526B0C" w:rsidRDefault="00950DA0">
      <w:pPr>
        <w:jc w:val="both"/>
      </w:pPr>
      <w:r>
        <w:t> </w:t>
      </w:r>
    </w:p>
    <w:p w:rsidR="00526B0C" w:rsidRDefault="00950DA0">
      <w:pPr>
        <w:jc w:val="both"/>
      </w:pPr>
      <w:r>
        <w:t xml:space="preserve">•   </w:t>
      </w:r>
      <w:r>
        <w:rPr>
          <w:b/>
        </w:rPr>
        <w:t>       Eliminacija prijenosa između nadležnog proračuna i proračunskih korisnika za financiranje redovne djelatnosti (šifra 671/367)</w:t>
      </w:r>
    </w:p>
    <w:p w:rsidR="00526B0C" w:rsidRDefault="00950DA0">
      <w:pPr>
        <w:jc w:val="both"/>
      </w:pPr>
      <w:r>
        <w:lastRenderedPageBreak/>
        <w:t>Prihodi koje su proračunski korisnici dobili od Županije za financiranje redovne djelatnosti evidentirani su na šifri 671 u izvještajima proračunskih korisnika (razina 21 i 31), a rashodi Županije za financiranje redovne djelatnosti proračunskih korisnika evidentirani su na šifri 367 u izvještaju PGŽ (razina 22). U konsolidiranom Izvještaju (razina 23) izvršena je eliminacija na šiframa 671 i 367 u ukupnom iznosu od 20.779.067,93 eura.</w:t>
      </w:r>
    </w:p>
    <w:p w:rsidR="00526B0C" w:rsidRDefault="00950DA0">
      <w:pPr>
        <w:jc w:val="both"/>
      </w:pPr>
      <w:r>
        <w:t> </w:t>
      </w:r>
    </w:p>
    <w:p w:rsidR="00526B0C" w:rsidRDefault="00950DA0">
      <w:pPr>
        <w:jc w:val="both"/>
      </w:pPr>
      <w:r>
        <w:rPr>
          <w:b/>
        </w:rPr>
        <w:t>•         Eliminacija prijenosa između nadležnog proračuna i proračunskih korisnika – vijeća nacionalnih manjina za financiranje redovne djelatnosti</w:t>
      </w:r>
    </w:p>
    <w:p w:rsidR="00526B0C" w:rsidRDefault="00950DA0">
      <w:pPr>
        <w:jc w:val="both"/>
      </w:pPr>
      <w:r>
        <w:t>Prihodi koje su vijeća nacionalnih manjina dobila od Županije za financiranje redovne djelatnosti evidentirani su na šifri 671 u izvještajima vijeća nacionalnih manjina (razina 21). </w:t>
      </w:r>
    </w:p>
    <w:p w:rsidR="00526B0C" w:rsidRDefault="00950DA0">
      <w:pPr>
        <w:jc w:val="both"/>
      </w:pPr>
      <w:r>
        <w:t>Sukladno uputama iz okružnica Ministarstva financija, rashodi vijeća nacionalnih manjina koji se financiraju iz prihoda proračuna, u Obrascu PR-RAS jedinica lokalne i područne (regionalne) samouprave iskazuju se po prirodnoj vrsti i ne koristi se podskupina 367. </w:t>
      </w:r>
    </w:p>
    <w:p w:rsidR="00526B0C" w:rsidRDefault="00950DA0">
      <w:pPr>
        <w:jc w:val="both"/>
      </w:pPr>
      <w:r>
        <w:t>U konsolidiranom Izvještaju (razina 23) izvršena je eliminacija u ukupnom iznosu od 20.536,84 eura na šifri 671 u izvještajima vijeća nacionalnih manjina (razina 21) te računa klase 3 na kojima su predmetni rashodi iskazani u izvještaju PGŽ (razina 22).</w:t>
      </w:r>
    </w:p>
    <w:p w:rsidR="00526B0C" w:rsidRDefault="00950DA0">
      <w:pPr>
        <w:jc w:val="both"/>
      </w:pPr>
      <w:r>
        <w:t> </w:t>
      </w:r>
    </w:p>
    <w:p w:rsidR="00526B0C" w:rsidRDefault="00950DA0">
      <w:pPr>
        <w:jc w:val="both"/>
      </w:pPr>
      <w:r>
        <w:rPr>
          <w:b/>
        </w:rPr>
        <w:t>•         Eliminacija prijenosa između proračunskih korisnika istog proračuna (šifra 639/369)</w:t>
      </w:r>
    </w:p>
    <w:p w:rsidR="00526B0C" w:rsidRDefault="00950DA0">
      <w:pPr>
        <w:jc w:val="both"/>
      </w:pPr>
      <w:r>
        <w:t>U konsolidiranom Izvještaju (razina 23) izvršena je eliminacija na šiframa 639 i 369 u iznosu od 87.584,67 eura, kako slijedi: </w:t>
      </w:r>
    </w:p>
    <w:p w:rsidR="00526B0C" w:rsidRDefault="00950DA0">
      <w:pPr>
        <w:jc w:val="both"/>
      </w:pPr>
      <w:r>
        <w:t>- U okviru EU projekta CENTINOSS, Dom za starije osobe Kantrida Rijeka ostvario je prihod u iznosu od 87.584,67 eura koji mu je doznačila Primorsko-goranska županija kao nositelj EU projekta. Navedeni prijenos evidentiran je na šifri 639 financijskog izvještaja Doma za starije osobe Kantrida Rijeka (razina 31), te na šifri 369 financijskog izvještaja Županije (razina 22).</w:t>
      </w:r>
    </w:p>
    <w:p w:rsidR="00526B0C" w:rsidRDefault="00950DA0">
      <w:r>
        <w:t> </w:t>
      </w:r>
    </w:p>
    <w:p w:rsidR="00526B0C" w:rsidRDefault="00950DA0">
      <w:pPr>
        <w:jc w:val="both"/>
      </w:pPr>
      <w:r>
        <w:rPr>
          <w:b/>
        </w:rPr>
        <w:t>2.)    IZVJEŠTAJ O OBVEZAMA</w:t>
      </w:r>
    </w:p>
    <w:p w:rsidR="00526B0C" w:rsidRDefault="00950DA0">
      <w:pPr>
        <w:jc w:val="both"/>
      </w:pPr>
      <w:r>
        <w:t xml:space="preserve">U konsolidiranom Izvještaju o obvezama (OBVEZE), eliminirane su </w:t>
      </w:r>
      <w:proofErr w:type="spellStart"/>
      <w:r>
        <w:t>unutargrupne</w:t>
      </w:r>
      <w:proofErr w:type="spellEnd"/>
      <w:r>
        <w:t xml:space="preserve"> transakcije za međusobne obveze i potraživanja Proračuna i proračunskih korisnika u ukupnom iznosu od 6.750.803,16 eura, kako slijedi:</w:t>
      </w:r>
    </w:p>
    <w:p w:rsidR="00526B0C" w:rsidRDefault="00950DA0">
      <w:pPr>
        <w:jc w:val="both"/>
      </w:pPr>
      <w:r>
        <w:t>- 92.229,02 eura, obveze proračunskih korisnika za povrat u Proračun više doznačenih sredstava;</w:t>
      </w:r>
    </w:p>
    <w:p w:rsidR="00526B0C" w:rsidRDefault="00950DA0">
      <w:pPr>
        <w:jc w:val="both"/>
      </w:pPr>
      <w:r>
        <w:t>- 6.658.574,14 eura, obveze Proračuna za naplaćena sredstva proračunskih korisnika.</w:t>
      </w:r>
    </w:p>
    <w:p w:rsidR="00526B0C" w:rsidRDefault="00526B0C"/>
    <w:p w:rsidR="00950DA0" w:rsidRDefault="00950DA0">
      <w:pPr>
        <w:keepNext/>
        <w:spacing w:line="240" w:lineRule="auto"/>
        <w:jc w:val="center"/>
        <w:rPr>
          <w:sz w:val="28"/>
        </w:rPr>
      </w:pPr>
    </w:p>
    <w:p w:rsidR="00526B0C" w:rsidRDefault="00950DA0">
      <w:pPr>
        <w:keepNext/>
        <w:spacing w:line="240" w:lineRule="auto"/>
        <w:jc w:val="center"/>
      </w:pPr>
      <w:r>
        <w:rPr>
          <w:sz w:val="28"/>
        </w:rPr>
        <w:t>Bilješka 26.</w:t>
      </w:r>
    </w:p>
    <w:p w:rsidR="00526B0C" w:rsidRDefault="00950DA0">
      <w:pPr>
        <w:spacing w:line="240" w:lineRule="auto"/>
        <w:jc w:val="both"/>
      </w:pPr>
      <w:r>
        <w:rPr>
          <w:b/>
        </w:rPr>
        <w:t xml:space="preserve">Manjak ili višak u poslovanju grupe i pregled strukture manjka/viška po proračunskim korisnicima </w:t>
      </w:r>
    </w:p>
    <w:p w:rsidR="00526B0C" w:rsidRDefault="00950DA0">
      <w:pPr>
        <w:jc w:val="both"/>
      </w:pPr>
      <w:r>
        <w:t>U razdoblju od 01. siječnja do 30. lipnja 2026. godine ostvaren je višak prihoda i primitaka raspoloživ u sljedećem razdoblju (šifra X006) u iznosu od 23.637.971,44 eura, što je za 4,2% manje u odnosu na rezultat ostvaren u prethodnom izvještajnom razdoblju.  </w:t>
      </w:r>
    </w:p>
    <w:p w:rsidR="00526B0C" w:rsidRDefault="00950DA0">
      <w:pPr>
        <w:jc w:val="both"/>
      </w:pPr>
      <w:r>
        <w:t>Navedeni konsolidirani rezultat Županije i njenih proračunskih korisnika prema strukturi sastoji se od ostvarenog viška kod Primorsko-goranske županije (27.357.540,21 eura), zdravstvenih ustanova (2.905.872,08 eura), Centra za rehabilitaciju “Fortica“ Kraljevica (1.793.507,53 eura), Javne ustanove Priroda (143.808,15 eura), Javne ustanove Zavod za prostorno uređenje PGŽ (6.263,28 eura), Centra za poljoprivredu i ruralni razvoj Stara Sušica (12.358,19 eura)  i vijeća nacionalnih manjina PGŽ (11.652,60 eura), te ostvarenog manjka kod osnovnih škola (3.558.983,17 eura), srednjih škola (3.386.855,76 eura), učeničkih domova (183.506,59 eura), ustanova kulture (959.230,63 eura), domova za starije osobe (357.290,89 eura), Regionalne razvojne agencije PGŽ (100.106,60 eura) i Regionalne energetske agencije Kvarner (47.056,96 eura).</w:t>
      </w:r>
    </w:p>
    <w:p w:rsidR="00526B0C" w:rsidRDefault="00950DA0">
      <w:pPr>
        <w:jc w:val="both"/>
      </w:pPr>
      <w:r>
        <w:t>U nastavku se daje pregled strukture konsolidiranog rezultata Županije i njenih proračunskih korisnika na dan 30. lipnja 2026. godine.</w:t>
      </w:r>
    </w:p>
    <w:p w:rsidR="00950DA0" w:rsidRDefault="00950DA0">
      <w:pPr>
        <w:jc w:val="both"/>
      </w:pPr>
    </w:p>
    <w:p w:rsidR="00950DA0" w:rsidRDefault="00950DA0">
      <w:pPr>
        <w:jc w:val="both"/>
      </w:pPr>
    </w:p>
    <w:p w:rsidR="00950DA0" w:rsidRDefault="00950DA0">
      <w:r>
        <w:br w:type="page"/>
      </w:r>
    </w:p>
    <w:tbl>
      <w:tblPr>
        <w:tblStyle w:val="TableGrid"/>
        <w:tblW w:w="5397" w:type="pct"/>
        <w:tblInd w:w="-572" w:type="dxa"/>
        <w:tblLook w:val="04A0" w:firstRow="1" w:lastRow="0" w:firstColumn="1" w:lastColumn="0" w:noHBand="0" w:noVBand="1"/>
      </w:tblPr>
      <w:tblGrid>
        <w:gridCol w:w="538"/>
        <w:gridCol w:w="2586"/>
        <w:gridCol w:w="1342"/>
        <w:gridCol w:w="1342"/>
        <w:gridCol w:w="1161"/>
        <w:gridCol w:w="1416"/>
        <w:gridCol w:w="1397"/>
      </w:tblGrid>
      <w:tr w:rsidR="00950DA0" w:rsidRPr="00950DA0" w:rsidTr="00950DA0">
        <w:trPr>
          <w:trHeight w:val="992"/>
        </w:trPr>
        <w:tc>
          <w:tcPr>
            <w:tcW w:w="275" w:type="pct"/>
            <w:shd w:val="clear" w:color="auto" w:fill="DEEAF6" w:themeFill="accent1" w:themeFillTint="33"/>
            <w:vAlign w:val="center"/>
          </w:tcPr>
          <w:p w:rsidR="00526B0C" w:rsidRPr="00950DA0" w:rsidRDefault="00950DA0">
            <w:pPr>
              <w:keepNext/>
              <w:jc w:val="center"/>
              <w:rPr>
                <w:sz w:val="18"/>
                <w:szCs w:val="18"/>
              </w:rPr>
            </w:pPr>
            <w:proofErr w:type="spellStart"/>
            <w:r w:rsidRPr="00950DA0">
              <w:rPr>
                <w:b/>
                <w:sz w:val="18"/>
                <w:szCs w:val="18"/>
              </w:rPr>
              <w:lastRenderedPageBreak/>
              <w:t>R.b</w:t>
            </w:r>
            <w:proofErr w:type="spellEnd"/>
            <w:r w:rsidRPr="00950DA0">
              <w:rPr>
                <w:b/>
                <w:sz w:val="18"/>
                <w:szCs w:val="18"/>
              </w:rPr>
              <w:t>.</w:t>
            </w:r>
          </w:p>
        </w:tc>
        <w:tc>
          <w:tcPr>
            <w:tcW w:w="1322"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Naziv</w:t>
            </w:r>
          </w:p>
        </w:tc>
        <w:tc>
          <w:tcPr>
            <w:tcW w:w="686"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Prihodi / Primici</w:t>
            </w:r>
          </w:p>
          <w:p w:rsidR="00526B0C" w:rsidRPr="00950DA0" w:rsidRDefault="00950DA0">
            <w:pPr>
              <w:keepNext/>
              <w:jc w:val="center"/>
              <w:rPr>
                <w:sz w:val="18"/>
                <w:szCs w:val="18"/>
              </w:rPr>
            </w:pPr>
            <w:r w:rsidRPr="00950DA0">
              <w:rPr>
                <w:b/>
                <w:sz w:val="18"/>
                <w:szCs w:val="18"/>
              </w:rPr>
              <w:t>(X678)*</w:t>
            </w:r>
          </w:p>
        </w:tc>
        <w:tc>
          <w:tcPr>
            <w:tcW w:w="686"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Rashodi / Izdaci</w:t>
            </w:r>
          </w:p>
          <w:p w:rsidR="00526B0C" w:rsidRPr="00950DA0" w:rsidRDefault="00950DA0">
            <w:pPr>
              <w:keepNext/>
              <w:jc w:val="center"/>
              <w:rPr>
                <w:sz w:val="18"/>
                <w:szCs w:val="18"/>
              </w:rPr>
            </w:pPr>
            <w:r w:rsidRPr="00950DA0">
              <w:rPr>
                <w:b/>
                <w:sz w:val="18"/>
                <w:szCs w:val="18"/>
              </w:rPr>
              <w:t>(Y345)*</w:t>
            </w:r>
          </w:p>
        </w:tc>
        <w:tc>
          <w:tcPr>
            <w:tcW w:w="593"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Višak / Manjak</w:t>
            </w:r>
          </w:p>
          <w:p w:rsidR="00526B0C" w:rsidRPr="00950DA0" w:rsidRDefault="00950DA0">
            <w:pPr>
              <w:keepNext/>
              <w:jc w:val="center"/>
              <w:rPr>
                <w:sz w:val="18"/>
                <w:szCs w:val="18"/>
              </w:rPr>
            </w:pPr>
            <w:r w:rsidRPr="00950DA0">
              <w:rPr>
                <w:b/>
                <w:sz w:val="18"/>
                <w:szCs w:val="18"/>
              </w:rPr>
              <w:t>(X005 / Y005)</w:t>
            </w:r>
          </w:p>
        </w:tc>
        <w:tc>
          <w:tcPr>
            <w:tcW w:w="724"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Preneseni višak / manjak</w:t>
            </w:r>
          </w:p>
          <w:p w:rsidR="00526B0C" w:rsidRPr="00950DA0" w:rsidRDefault="00950DA0">
            <w:pPr>
              <w:keepNext/>
              <w:jc w:val="center"/>
              <w:rPr>
                <w:sz w:val="18"/>
                <w:szCs w:val="18"/>
              </w:rPr>
            </w:pPr>
            <w:r w:rsidRPr="00950DA0">
              <w:rPr>
                <w:b/>
                <w:sz w:val="18"/>
                <w:szCs w:val="18"/>
              </w:rPr>
              <w:t>(9221-9222 / 9222-9221)</w:t>
            </w:r>
          </w:p>
        </w:tc>
        <w:tc>
          <w:tcPr>
            <w:tcW w:w="714" w:type="pct"/>
            <w:shd w:val="clear" w:color="auto" w:fill="DEEAF6" w:themeFill="accent1" w:themeFillTint="33"/>
            <w:vAlign w:val="center"/>
          </w:tcPr>
          <w:p w:rsidR="00526B0C" w:rsidRPr="00950DA0" w:rsidRDefault="00950DA0">
            <w:pPr>
              <w:keepNext/>
              <w:jc w:val="center"/>
              <w:rPr>
                <w:sz w:val="18"/>
                <w:szCs w:val="18"/>
              </w:rPr>
            </w:pPr>
            <w:r w:rsidRPr="00950DA0">
              <w:rPr>
                <w:b/>
                <w:sz w:val="18"/>
                <w:szCs w:val="18"/>
              </w:rPr>
              <w:t>Višak / manjak u slijedećem razdoblju</w:t>
            </w:r>
          </w:p>
          <w:p w:rsidR="00526B0C" w:rsidRPr="00950DA0" w:rsidRDefault="00950DA0">
            <w:pPr>
              <w:keepNext/>
              <w:jc w:val="center"/>
              <w:rPr>
                <w:sz w:val="18"/>
                <w:szCs w:val="18"/>
              </w:rPr>
            </w:pPr>
            <w:r w:rsidRPr="00950DA0">
              <w:rPr>
                <w:b/>
                <w:sz w:val="18"/>
                <w:szCs w:val="18"/>
              </w:rPr>
              <w:t>(X006 / Y006)</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w:t>
            </w:r>
          </w:p>
        </w:tc>
        <w:tc>
          <w:tcPr>
            <w:tcW w:w="1322" w:type="pct"/>
            <w:vAlign w:val="center"/>
          </w:tcPr>
          <w:p w:rsidR="00526B0C" w:rsidRPr="00950DA0" w:rsidRDefault="00950DA0">
            <w:pPr>
              <w:keepNext/>
              <w:rPr>
                <w:sz w:val="18"/>
                <w:szCs w:val="18"/>
              </w:rPr>
            </w:pPr>
            <w:r w:rsidRPr="00950DA0">
              <w:rPr>
                <w:sz w:val="18"/>
                <w:szCs w:val="18"/>
              </w:rPr>
              <w:t>Primorsko-goranska županija</w:t>
            </w:r>
          </w:p>
        </w:tc>
        <w:tc>
          <w:tcPr>
            <w:tcW w:w="686" w:type="pct"/>
            <w:vAlign w:val="center"/>
          </w:tcPr>
          <w:p w:rsidR="00526B0C" w:rsidRPr="00950DA0" w:rsidRDefault="00950DA0">
            <w:pPr>
              <w:keepNext/>
              <w:jc w:val="right"/>
              <w:rPr>
                <w:sz w:val="18"/>
                <w:szCs w:val="18"/>
              </w:rPr>
            </w:pPr>
            <w:r w:rsidRPr="00950DA0">
              <w:rPr>
                <w:sz w:val="18"/>
                <w:szCs w:val="18"/>
              </w:rPr>
              <w:t>52.756.225,27</w:t>
            </w:r>
          </w:p>
        </w:tc>
        <w:tc>
          <w:tcPr>
            <w:tcW w:w="686" w:type="pct"/>
            <w:vAlign w:val="center"/>
          </w:tcPr>
          <w:p w:rsidR="00526B0C" w:rsidRPr="00950DA0" w:rsidRDefault="00950DA0">
            <w:pPr>
              <w:keepNext/>
              <w:jc w:val="right"/>
              <w:rPr>
                <w:sz w:val="18"/>
                <w:szCs w:val="18"/>
              </w:rPr>
            </w:pPr>
            <w:r w:rsidRPr="00950DA0">
              <w:rPr>
                <w:sz w:val="18"/>
                <w:szCs w:val="18"/>
              </w:rPr>
              <w:t>48.409.680,28</w:t>
            </w:r>
          </w:p>
        </w:tc>
        <w:tc>
          <w:tcPr>
            <w:tcW w:w="593" w:type="pct"/>
            <w:vAlign w:val="center"/>
          </w:tcPr>
          <w:p w:rsidR="00526B0C" w:rsidRPr="00950DA0" w:rsidRDefault="00950DA0">
            <w:pPr>
              <w:keepNext/>
              <w:jc w:val="right"/>
              <w:rPr>
                <w:sz w:val="18"/>
                <w:szCs w:val="18"/>
              </w:rPr>
            </w:pPr>
            <w:r w:rsidRPr="00950DA0">
              <w:rPr>
                <w:sz w:val="18"/>
                <w:szCs w:val="18"/>
              </w:rPr>
              <w:t>4.346.544,99</w:t>
            </w:r>
          </w:p>
        </w:tc>
        <w:tc>
          <w:tcPr>
            <w:tcW w:w="724" w:type="pct"/>
            <w:vAlign w:val="center"/>
          </w:tcPr>
          <w:p w:rsidR="00526B0C" w:rsidRPr="00950DA0" w:rsidRDefault="00950DA0">
            <w:pPr>
              <w:keepNext/>
              <w:jc w:val="right"/>
              <w:rPr>
                <w:sz w:val="18"/>
                <w:szCs w:val="18"/>
              </w:rPr>
            </w:pPr>
            <w:r w:rsidRPr="00950DA0">
              <w:rPr>
                <w:sz w:val="18"/>
                <w:szCs w:val="18"/>
              </w:rPr>
              <w:t>23.010.995,22</w:t>
            </w:r>
          </w:p>
        </w:tc>
        <w:tc>
          <w:tcPr>
            <w:tcW w:w="714" w:type="pct"/>
            <w:vAlign w:val="center"/>
          </w:tcPr>
          <w:p w:rsidR="00526B0C" w:rsidRPr="00950DA0" w:rsidRDefault="00950DA0">
            <w:pPr>
              <w:keepNext/>
              <w:jc w:val="right"/>
              <w:rPr>
                <w:sz w:val="18"/>
                <w:szCs w:val="18"/>
              </w:rPr>
            </w:pPr>
            <w:r w:rsidRPr="00950DA0">
              <w:rPr>
                <w:sz w:val="18"/>
                <w:szCs w:val="18"/>
              </w:rPr>
              <w:t>27.357.540,21</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2</w:t>
            </w:r>
          </w:p>
        </w:tc>
        <w:tc>
          <w:tcPr>
            <w:tcW w:w="1322" w:type="pct"/>
            <w:vAlign w:val="center"/>
          </w:tcPr>
          <w:p w:rsidR="00526B0C" w:rsidRPr="00950DA0" w:rsidRDefault="00950DA0">
            <w:pPr>
              <w:keepNext/>
              <w:rPr>
                <w:sz w:val="18"/>
                <w:szCs w:val="18"/>
              </w:rPr>
            </w:pPr>
            <w:r w:rsidRPr="00950DA0">
              <w:rPr>
                <w:sz w:val="18"/>
                <w:szCs w:val="18"/>
              </w:rPr>
              <w:t>Osnovne škole</w:t>
            </w:r>
          </w:p>
        </w:tc>
        <w:tc>
          <w:tcPr>
            <w:tcW w:w="686" w:type="pct"/>
            <w:vAlign w:val="center"/>
          </w:tcPr>
          <w:p w:rsidR="00526B0C" w:rsidRPr="00950DA0" w:rsidRDefault="00950DA0">
            <w:pPr>
              <w:keepNext/>
              <w:jc w:val="right"/>
              <w:rPr>
                <w:sz w:val="18"/>
                <w:szCs w:val="18"/>
              </w:rPr>
            </w:pPr>
            <w:r w:rsidRPr="00950DA0">
              <w:rPr>
                <w:sz w:val="18"/>
                <w:szCs w:val="18"/>
              </w:rPr>
              <w:t>29.654.018,29</w:t>
            </w:r>
          </w:p>
        </w:tc>
        <w:tc>
          <w:tcPr>
            <w:tcW w:w="686" w:type="pct"/>
            <w:vAlign w:val="center"/>
          </w:tcPr>
          <w:p w:rsidR="00526B0C" w:rsidRPr="00950DA0" w:rsidRDefault="00950DA0">
            <w:pPr>
              <w:keepNext/>
              <w:jc w:val="right"/>
              <w:rPr>
                <w:sz w:val="18"/>
                <w:szCs w:val="18"/>
              </w:rPr>
            </w:pPr>
            <w:r w:rsidRPr="00950DA0">
              <w:rPr>
                <w:sz w:val="18"/>
                <w:szCs w:val="18"/>
              </w:rPr>
              <w:t>29.483.175,89</w:t>
            </w:r>
          </w:p>
        </w:tc>
        <w:tc>
          <w:tcPr>
            <w:tcW w:w="593" w:type="pct"/>
            <w:vAlign w:val="center"/>
          </w:tcPr>
          <w:p w:rsidR="00526B0C" w:rsidRPr="00950DA0" w:rsidRDefault="00950DA0">
            <w:pPr>
              <w:keepNext/>
              <w:jc w:val="right"/>
              <w:rPr>
                <w:sz w:val="18"/>
                <w:szCs w:val="18"/>
              </w:rPr>
            </w:pPr>
            <w:r w:rsidRPr="00950DA0">
              <w:rPr>
                <w:sz w:val="18"/>
                <w:szCs w:val="18"/>
              </w:rPr>
              <w:t>170.842,40</w:t>
            </w:r>
          </w:p>
        </w:tc>
        <w:tc>
          <w:tcPr>
            <w:tcW w:w="724" w:type="pct"/>
            <w:vAlign w:val="center"/>
          </w:tcPr>
          <w:p w:rsidR="00526B0C" w:rsidRPr="00950DA0" w:rsidRDefault="00950DA0">
            <w:pPr>
              <w:keepNext/>
              <w:jc w:val="right"/>
              <w:rPr>
                <w:sz w:val="18"/>
                <w:szCs w:val="18"/>
              </w:rPr>
            </w:pPr>
            <w:r w:rsidRPr="00950DA0">
              <w:rPr>
                <w:sz w:val="18"/>
                <w:szCs w:val="18"/>
              </w:rPr>
              <w:t>-3.729.825,57</w:t>
            </w:r>
          </w:p>
        </w:tc>
        <w:tc>
          <w:tcPr>
            <w:tcW w:w="714" w:type="pct"/>
            <w:vAlign w:val="center"/>
          </w:tcPr>
          <w:p w:rsidR="00526B0C" w:rsidRPr="00950DA0" w:rsidRDefault="00950DA0">
            <w:pPr>
              <w:keepNext/>
              <w:jc w:val="right"/>
              <w:rPr>
                <w:sz w:val="18"/>
                <w:szCs w:val="18"/>
              </w:rPr>
            </w:pPr>
            <w:r w:rsidRPr="00950DA0">
              <w:rPr>
                <w:sz w:val="18"/>
                <w:szCs w:val="18"/>
              </w:rPr>
              <w:t>-3.558.983,17</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3</w:t>
            </w:r>
          </w:p>
        </w:tc>
        <w:tc>
          <w:tcPr>
            <w:tcW w:w="1322" w:type="pct"/>
            <w:vAlign w:val="center"/>
          </w:tcPr>
          <w:p w:rsidR="00526B0C" w:rsidRPr="00950DA0" w:rsidRDefault="00950DA0">
            <w:pPr>
              <w:keepNext/>
              <w:rPr>
                <w:sz w:val="18"/>
                <w:szCs w:val="18"/>
              </w:rPr>
            </w:pPr>
            <w:r w:rsidRPr="00950DA0">
              <w:rPr>
                <w:sz w:val="18"/>
                <w:szCs w:val="18"/>
              </w:rPr>
              <w:t>Srednje škole</w:t>
            </w:r>
          </w:p>
        </w:tc>
        <w:tc>
          <w:tcPr>
            <w:tcW w:w="686" w:type="pct"/>
            <w:vAlign w:val="center"/>
          </w:tcPr>
          <w:p w:rsidR="00526B0C" w:rsidRPr="00950DA0" w:rsidRDefault="00950DA0">
            <w:pPr>
              <w:keepNext/>
              <w:jc w:val="right"/>
              <w:rPr>
                <w:sz w:val="18"/>
                <w:szCs w:val="18"/>
              </w:rPr>
            </w:pPr>
            <w:r w:rsidRPr="00950DA0">
              <w:rPr>
                <w:sz w:val="18"/>
                <w:szCs w:val="18"/>
              </w:rPr>
              <w:t>26.702.022,60</w:t>
            </w:r>
          </w:p>
        </w:tc>
        <w:tc>
          <w:tcPr>
            <w:tcW w:w="686" w:type="pct"/>
            <w:vAlign w:val="center"/>
          </w:tcPr>
          <w:p w:rsidR="00526B0C" w:rsidRPr="00950DA0" w:rsidRDefault="00950DA0">
            <w:pPr>
              <w:keepNext/>
              <w:jc w:val="right"/>
              <w:rPr>
                <w:sz w:val="18"/>
                <w:szCs w:val="18"/>
              </w:rPr>
            </w:pPr>
            <w:r w:rsidRPr="00950DA0">
              <w:rPr>
                <w:sz w:val="18"/>
                <w:szCs w:val="18"/>
              </w:rPr>
              <w:t>26.992.465,28</w:t>
            </w:r>
          </w:p>
        </w:tc>
        <w:tc>
          <w:tcPr>
            <w:tcW w:w="593" w:type="pct"/>
            <w:vAlign w:val="center"/>
          </w:tcPr>
          <w:p w:rsidR="00526B0C" w:rsidRPr="00950DA0" w:rsidRDefault="00950DA0">
            <w:pPr>
              <w:keepNext/>
              <w:jc w:val="right"/>
              <w:rPr>
                <w:sz w:val="18"/>
                <w:szCs w:val="18"/>
              </w:rPr>
            </w:pPr>
            <w:r w:rsidRPr="00950DA0">
              <w:rPr>
                <w:sz w:val="18"/>
                <w:szCs w:val="18"/>
              </w:rPr>
              <w:t>-290.442,68</w:t>
            </w:r>
          </w:p>
        </w:tc>
        <w:tc>
          <w:tcPr>
            <w:tcW w:w="724" w:type="pct"/>
            <w:vAlign w:val="center"/>
          </w:tcPr>
          <w:p w:rsidR="00526B0C" w:rsidRPr="00950DA0" w:rsidRDefault="00950DA0">
            <w:pPr>
              <w:keepNext/>
              <w:jc w:val="right"/>
              <w:rPr>
                <w:sz w:val="18"/>
                <w:szCs w:val="18"/>
              </w:rPr>
            </w:pPr>
            <w:r w:rsidRPr="00950DA0">
              <w:rPr>
                <w:sz w:val="18"/>
                <w:szCs w:val="18"/>
              </w:rPr>
              <w:t>-3.096.413,08</w:t>
            </w:r>
          </w:p>
        </w:tc>
        <w:tc>
          <w:tcPr>
            <w:tcW w:w="714" w:type="pct"/>
            <w:vAlign w:val="center"/>
          </w:tcPr>
          <w:p w:rsidR="00526B0C" w:rsidRPr="00950DA0" w:rsidRDefault="00950DA0">
            <w:pPr>
              <w:keepNext/>
              <w:jc w:val="right"/>
              <w:rPr>
                <w:sz w:val="18"/>
                <w:szCs w:val="18"/>
              </w:rPr>
            </w:pPr>
            <w:r w:rsidRPr="00950DA0">
              <w:rPr>
                <w:sz w:val="18"/>
                <w:szCs w:val="18"/>
              </w:rPr>
              <w:t>-3.386.855,76</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4</w:t>
            </w:r>
          </w:p>
        </w:tc>
        <w:tc>
          <w:tcPr>
            <w:tcW w:w="1322" w:type="pct"/>
            <w:vAlign w:val="center"/>
          </w:tcPr>
          <w:p w:rsidR="00526B0C" w:rsidRPr="00950DA0" w:rsidRDefault="00950DA0">
            <w:pPr>
              <w:keepNext/>
              <w:rPr>
                <w:sz w:val="18"/>
                <w:szCs w:val="18"/>
              </w:rPr>
            </w:pPr>
            <w:r w:rsidRPr="00950DA0">
              <w:rPr>
                <w:sz w:val="18"/>
                <w:szCs w:val="18"/>
              </w:rPr>
              <w:t>Učenički domovi</w:t>
            </w:r>
          </w:p>
        </w:tc>
        <w:tc>
          <w:tcPr>
            <w:tcW w:w="686" w:type="pct"/>
            <w:vAlign w:val="center"/>
          </w:tcPr>
          <w:p w:rsidR="00526B0C" w:rsidRPr="00950DA0" w:rsidRDefault="00950DA0">
            <w:pPr>
              <w:keepNext/>
              <w:jc w:val="right"/>
              <w:rPr>
                <w:sz w:val="18"/>
                <w:szCs w:val="18"/>
              </w:rPr>
            </w:pPr>
            <w:r w:rsidRPr="00950DA0">
              <w:rPr>
                <w:sz w:val="18"/>
                <w:szCs w:val="18"/>
              </w:rPr>
              <w:t>2.887.670,43</w:t>
            </w:r>
          </w:p>
        </w:tc>
        <w:tc>
          <w:tcPr>
            <w:tcW w:w="686" w:type="pct"/>
            <w:vAlign w:val="center"/>
          </w:tcPr>
          <w:p w:rsidR="00526B0C" w:rsidRPr="00950DA0" w:rsidRDefault="00950DA0">
            <w:pPr>
              <w:keepNext/>
              <w:jc w:val="right"/>
              <w:rPr>
                <w:sz w:val="18"/>
                <w:szCs w:val="18"/>
              </w:rPr>
            </w:pPr>
            <w:r w:rsidRPr="00950DA0">
              <w:rPr>
                <w:sz w:val="18"/>
                <w:szCs w:val="18"/>
              </w:rPr>
              <w:t>2.844.580,07</w:t>
            </w:r>
          </w:p>
        </w:tc>
        <w:tc>
          <w:tcPr>
            <w:tcW w:w="593" w:type="pct"/>
            <w:vAlign w:val="center"/>
          </w:tcPr>
          <w:p w:rsidR="00526B0C" w:rsidRPr="00950DA0" w:rsidRDefault="00950DA0">
            <w:pPr>
              <w:keepNext/>
              <w:jc w:val="right"/>
              <w:rPr>
                <w:sz w:val="18"/>
                <w:szCs w:val="18"/>
              </w:rPr>
            </w:pPr>
            <w:r w:rsidRPr="00950DA0">
              <w:rPr>
                <w:sz w:val="18"/>
                <w:szCs w:val="18"/>
              </w:rPr>
              <w:t>43.090,36</w:t>
            </w:r>
          </w:p>
        </w:tc>
        <w:tc>
          <w:tcPr>
            <w:tcW w:w="724" w:type="pct"/>
            <w:vAlign w:val="center"/>
          </w:tcPr>
          <w:p w:rsidR="00526B0C" w:rsidRPr="00950DA0" w:rsidRDefault="00950DA0">
            <w:pPr>
              <w:keepNext/>
              <w:jc w:val="right"/>
              <w:rPr>
                <w:sz w:val="18"/>
                <w:szCs w:val="18"/>
              </w:rPr>
            </w:pPr>
            <w:r w:rsidRPr="00950DA0">
              <w:rPr>
                <w:sz w:val="18"/>
                <w:szCs w:val="18"/>
              </w:rPr>
              <w:t>-226.596,95</w:t>
            </w:r>
          </w:p>
        </w:tc>
        <w:tc>
          <w:tcPr>
            <w:tcW w:w="714" w:type="pct"/>
            <w:vAlign w:val="center"/>
          </w:tcPr>
          <w:p w:rsidR="00526B0C" w:rsidRPr="00950DA0" w:rsidRDefault="00950DA0">
            <w:pPr>
              <w:keepNext/>
              <w:jc w:val="right"/>
              <w:rPr>
                <w:sz w:val="18"/>
                <w:szCs w:val="18"/>
              </w:rPr>
            </w:pPr>
            <w:r w:rsidRPr="00950DA0">
              <w:rPr>
                <w:sz w:val="18"/>
                <w:szCs w:val="18"/>
              </w:rPr>
              <w:t>-183.506,59</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5</w:t>
            </w:r>
          </w:p>
        </w:tc>
        <w:tc>
          <w:tcPr>
            <w:tcW w:w="1322" w:type="pct"/>
            <w:vAlign w:val="center"/>
          </w:tcPr>
          <w:p w:rsidR="00526B0C" w:rsidRPr="00950DA0" w:rsidRDefault="00950DA0">
            <w:pPr>
              <w:keepNext/>
              <w:rPr>
                <w:sz w:val="18"/>
                <w:szCs w:val="18"/>
              </w:rPr>
            </w:pPr>
            <w:r w:rsidRPr="00950DA0">
              <w:rPr>
                <w:sz w:val="18"/>
                <w:szCs w:val="18"/>
              </w:rPr>
              <w:t>Ustanove kulture</w:t>
            </w:r>
          </w:p>
        </w:tc>
        <w:tc>
          <w:tcPr>
            <w:tcW w:w="686" w:type="pct"/>
            <w:vAlign w:val="center"/>
          </w:tcPr>
          <w:p w:rsidR="00526B0C" w:rsidRPr="00950DA0" w:rsidRDefault="00950DA0">
            <w:pPr>
              <w:keepNext/>
              <w:jc w:val="right"/>
              <w:rPr>
                <w:sz w:val="18"/>
                <w:szCs w:val="18"/>
              </w:rPr>
            </w:pPr>
            <w:r w:rsidRPr="00950DA0">
              <w:rPr>
                <w:sz w:val="18"/>
                <w:szCs w:val="18"/>
              </w:rPr>
              <w:t>5.947.672,44</w:t>
            </w:r>
          </w:p>
        </w:tc>
        <w:tc>
          <w:tcPr>
            <w:tcW w:w="686" w:type="pct"/>
            <w:vAlign w:val="center"/>
          </w:tcPr>
          <w:p w:rsidR="00526B0C" w:rsidRPr="00950DA0" w:rsidRDefault="00950DA0">
            <w:pPr>
              <w:keepNext/>
              <w:jc w:val="right"/>
              <w:rPr>
                <w:sz w:val="18"/>
                <w:szCs w:val="18"/>
              </w:rPr>
            </w:pPr>
            <w:r w:rsidRPr="00950DA0">
              <w:rPr>
                <w:sz w:val="18"/>
                <w:szCs w:val="18"/>
              </w:rPr>
              <w:t>6.426.580,69</w:t>
            </w:r>
          </w:p>
        </w:tc>
        <w:tc>
          <w:tcPr>
            <w:tcW w:w="593" w:type="pct"/>
            <w:vAlign w:val="center"/>
          </w:tcPr>
          <w:p w:rsidR="00526B0C" w:rsidRPr="00950DA0" w:rsidRDefault="00950DA0">
            <w:pPr>
              <w:keepNext/>
              <w:jc w:val="right"/>
              <w:rPr>
                <w:sz w:val="18"/>
                <w:szCs w:val="18"/>
              </w:rPr>
            </w:pPr>
            <w:r w:rsidRPr="00950DA0">
              <w:rPr>
                <w:sz w:val="18"/>
                <w:szCs w:val="18"/>
              </w:rPr>
              <w:t>-478.908,25</w:t>
            </w:r>
          </w:p>
        </w:tc>
        <w:tc>
          <w:tcPr>
            <w:tcW w:w="724" w:type="pct"/>
            <w:vAlign w:val="center"/>
          </w:tcPr>
          <w:p w:rsidR="00526B0C" w:rsidRPr="00950DA0" w:rsidRDefault="00950DA0">
            <w:pPr>
              <w:keepNext/>
              <w:jc w:val="right"/>
              <w:rPr>
                <w:sz w:val="18"/>
                <w:szCs w:val="18"/>
              </w:rPr>
            </w:pPr>
            <w:r w:rsidRPr="00950DA0">
              <w:rPr>
                <w:sz w:val="18"/>
                <w:szCs w:val="18"/>
              </w:rPr>
              <w:t>-480.322,38</w:t>
            </w:r>
          </w:p>
        </w:tc>
        <w:tc>
          <w:tcPr>
            <w:tcW w:w="714" w:type="pct"/>
            <w:vAlign w:val="center"/>
          </w:tcPr>
          <w:p w:rsidR="00526B0C" w:rsidRPr="00950DA0" w:rsidRDefault="00950DA0">
            <w:pPr>
              <w:keepNext/>
              <w:jc w:val="right"/>
              <w:rPr>
                <w:sz w:val="18"/>
                <w:szCs w:val="18"/>
              </w:rPr>
            </w:pPr>
            <w:r w:rsidRPr="00950DA0">
              <w:rPr>
                <w:sz w:val="18"/>
                <w:szCs w:val="18"/>
              </w:rPr>
              <w:t>-959.230,63</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6</w:t>
            </w:r>
          </w:p>
        </w:tc>
        <w:tc>
          <w:tcPr>
            <w:tcW w:w="1322" w:type="pct"/>
            <w:vAlign w:val="center"/>
          </w:tcPr>
          <w:p w:rsidR="00526B0C" w:rsidRPr="00950DA0" w:rsidRDefault="00950DA0">
            <w:pPr>
              <w:keepNext/>
              <w:rPr>
                <w:sz w:val="18"/>
                <w:szCs w:val="18"/>
              </w:rPr>
            </w:pPr>
            <w:r w:rsidRPr="00950DA0">
              <w:rPr>
                <w:sz w:val="18"/>
                <w:szCs w:val="18"/>
              </w:rPr>
              <w:t>Zdravstvene ustanove</w:t>
            </w:r>
          </w:p>
        </w:tc>
        <w:tc>
          <w:tcPr>
            <w:tcW w:w="686" w:type="pct"/>
            <w:vAlign w:val="center"/>
          </w:tcPr>
          <w:p w:rsidR="00526B0C" w:rsidRPr="00950DA0" w:rsidRDefault="00950DA0">
            <w:pPr>
              <w:keepNext/>
              <w:jc w:val="right"/>
              <w:rPr>
                <w:sz w:val="18"/>
                <w:szCs w:val="18"/>
              </w:rPr>
            </w:pPr>
            <w:r w:rsidRPr="00950DA0">
              <w:rPr>
                <w:sz w:val="18"/>
                <w:szCs w:val="18"/>
              </w:rPr>
              <w:t>61.176.329,30</w:t>
            </w:r>
          </w:p>
        </w:tc>
        <w:tc>
          <w:tcPr>
            <w:tcW w:w="686" w:type="pct"/>
            <w:vAlign w:val="center"/>
          </w:tcPr>
          <w:p w:rsidR="00526B0C" w:rsidRPr="00950DA0" w:rsidRDefault="00950DA0">
            <w:pPr>
              <w:keepNext/>
              <w:jc w:val="right"/>
              <w:rPr>
                <w:sz w:val="18"/>
                <w:szCs w:val="18"/>
              </w:rPr>
            </w:pPr>
            <w:r w:rsidRPr="00950DA0">
              <w:rPr>
                <w:sz w:val="18"/>
                <w:szCs w:val="18"/>
              </w:rPr>
              <w:t>64.158.959,39</w:t>
            </w:r>
          </w:p>
        </w:tc>
        <w:tc>
          <w:tcPr>
            <w:tcW w:w="593" w:type="pct"/>
            <w:vAlign w:val="center"/>
          </w:tcPr>
          <w:p w:rsidR="00526B0C" w:rsidRPr="00950DA0" w:rsidRDefault="00950DA0">
            <w:pPr>
              <w:keepNext/>
              <w:jc w:val="right"/>
              <w:rPr>
                <w:sz w:val="18"/>
                <w:szCs w:val="18"/>
              </w:rPr>
            </w:pPr>
            <w:r w:rsidRPr="00950DA0">
              <w:rPr>
                <w:sz w:val="18"/>
                <w:szCs w:val="18"/>
              </w:rPr>
              <w:t>-2.982.630,09</w:t>
            </w:r>
          </w:p>
        </w:tc>
        <w:tc>
          <w:tcPr>
            <w:tcW w:w="724" w:type="pct"/>
            <w:vAlign w:val="center"/>
          </w:tcPr>
          <w:p w:rsidR="00526B0C" w:rsidRPr="00950DA0" w:rsidRDefault="00950DA0">
            <w:pPr>
              <w:keepNext/>
              <w:jc w:val="right"/>
              <w:rPr>
                <w:sz w:val="18"/>
                <w:szCs w:val="18"/>
              </w:rPr>
            </w:pPr>
            <w:r w:rsidRPr="00950DA0">
              <w:rPr>
                <w:sz w:val="18"/>
                <w:szCs w:val="18"/>
              </w:rPr>
              <w:t>5.888.502,17</w:t>
            </w:r>
          </w:p>
        </w:tc>
        <w:tc>
          <w:tcPr>
            <w:tcW w:w="714" w:type="pct"/>
            <w:vAlign w:val="center"/>
          </w:tcPr>
          <w:p w:rsidR="00526B0C" w:rsidRPr="00950DA0" w:rsidRDefault="00950DA0">
            <w:pPr>
              <w:keepNext/>
              <w:jc w:val="right"/>
              <w:rPr>
                <w:sz w:val="18"/>
                <w:szCs w:val="18"/>
              </w:rPr>
            </w:pPr>
            <w:r w:rsidRPr="00950DA0">
              <w:rPr>
                <w:sz w:val="18"/>
                <w:szCs w:val="18"/>
              </w:rPr>
              <w:t>2.905.872,08</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7</w:t>
            </w:r>
          </w:p>
        </w:tc>
        <w:tc>
          <w:tcPr>
            <w:tcW w:w="1322" w:type="pct"/>
            <w:vAlign w:val="center"/>
          </w:tcPr>
          <w:p w:rsidR="00526B0C" w:rsidRPr="00950DA0" w:rsidRDefault="00950DA0">
            <w:pPr>
              <w:keepNext/>
              <w:rPr>
                <w:sz w:val="18"/>
                <w:szCs w:val="18"/>
              </w:rPr>
            </w:pPr>
            <w:r w:rsidRPr="00950DA0">
              <w:rPr>
                <w:sz w:val="18"/>
                <w:szCs w:val="18"/>
              </w:rPr>
              <w:t>Domovi za starije osobe</w:t>
            </w:r>
          </w:p>
        </w:tc>
        <w:tc>
          <w:tcPr>
            <w:tcW w:w="686" w:type="pct"/>
            <w:vAlign w:val="center"/>
          </w:tcPr>
          <w:p w:rsidR="00526B0C" w:rsidRPr="00950DA0" w:rsidRDefault="00950DA0">
            <w:pPr>
              <w:keepNext/>
              <w:jc w:val="right"/>
              <w:rPr>
                <w:sz w:val="18"/>
                <w:szCs w:val="18"/>
              </w:rPr>
            </w:pPr>
            <w:r w:rsidRPr="00950DA0">
              <w:rPr>
                <w:sz w:val="18"/>
                <w:szCs w:val="18"/>
              </w:rPr>
              <w:t>8.893.679,56</w:t>
            </w:r>
          </w:p>
        </w:tc>
        <w:tc>
          <w:tcPr>
            <w:tcW w:w="686" w:type="pct"/>
            <w:vAlign w:val="center"/>
          </w:tcPr>
          <w:p w:rsidR="00526B0C" w:rsidRPr="00950DA0" w:rsidRDefault="00950DA0">
            <w:pPr>
              <w:keepNext/>
              <w:jc w:val="right"/>
              <w:rPr>
                <w:sz w:val="18"/>
                <w:szCs w:val="18"/>
              </w:rPr>
            </w:pPr>
            <w:r w:rsidRPr="00950DA0">
              <w:rPr>
                <w:sz w:val="18"/>
                <w:szCs w:val="18"/>
              </w:rPr>
              <w:t>8.982.349,84</w:t>
            </w:r>
          </w:p>
        </w:tc>
        <w:tc>
          <w:tcPr>
            <w:tcW w:w="593" w:type="pct"/>
            <w:vAlign w:val="center"/>
          </w:tcPr>
          <w:p w:rsidR="00526B0C" w:rsidRPr="00950DA0" w:rsidRDefault="00950DA0">
            <w:pPr>
              <w:keepNext/>
              <w:jc w:val="right"/>
              <w:rPr>
                <w:sz w:val="18"/>
                <w:szCs w:val="18"/>
              </w:rPr>
            </w:pPr>
            <w:r w:rsidRPr="00950DA0">
              <w:rPr>
                <w:sz w:val="18"/>
                <w:szCs w:val="18"/>
              </w:rPr>
              <w:t>-88.670,28</w:t>
            </w:r>
          </w:p>
        </w:tc>
        <w:tc>
          <w:tcPr>
            <w:tcW w:w="724" w:type="pct"/>
            <w:vAlign w:val="center"/>
          </w:tcPr>
          <w:p w:rsidR="00526B0C" w:rsidRPr="00950DA0" w:rsidRDefault="00950DA0">
            <w:pPr>
              <w:keepNext/>
              <w:jc w:val="right"/>
              <w:rPr>
                <w:sz w:val="18"/>
                <w:szCs w:val="18"/>
              </w:rPr>
            </w:pPr>
            <w:r w:rsidRPr="00950DA0">
              <w:rPr>
                <w:sz w:val="18"/>
                <w:szCs w:val="18"/>
              </w:rPr>
              <w:t>-268.620,61</w:t>
            </w:r>
          </w:p>
        </w:tc>
        <w:tc>
          <w:tcPr>
            <w:tcW w:w="714" w:type="pct"/>
            <w:vAlign w:val="center"/>
          </w:tcPr>
          <w:p w:rsidR="00526B0C" w:rsidRPr="00950DA0" w:rsidRDefault="00950DA0">
            <w:pPr>
              <w:keepNext/>
              <w:jc w:val="right"/>
              <w:rPr>
                <w:sz w:val="18"/>
                <w:szCs w:val="18"/>
              </w:rPr>
            </w:pPr>
            <w:r w:rsidRPr="00950DA0">
              <w:rPr>
                <w:sz w:val="18"/>
                <w:szCs w:val="18"/>
              </w:rPr>
              <w:t>-357.290,89</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8</w:t>
            </w:r>
          </w:p>
        </w:tc>
        <w:tc>
          <w:tcPr>
            <w:tcW w:w="1322" w:type="pct"/>
            <w:vAlign w:val="center"/>
          </w:tcPr>
          <w:p w:rsidR="00526B0C" w:rsidRPr="00950DA0" w:rsidRDefault="00950DA0">
            <w:pPr>
              <w:keepNext/>
              <w:rPr>
                <w:sz w:val="18"/>
                <w:szCs w:val="18"/>
              </w:rPr>
            </w:pPr>
            <w:r w:rsidRPr="00950DA0">
              <w:rPr>
                <w:sz w:val="18"/>
                <w:szCs w:val="18"/>
              </w:rPr>
              <w:t>Centar za rehabilitaciju "Fortica"</w:t>
            </w:r>
          </w:p>
        </w:tc>
        <w:tc>
          <w:tcPr>
            <w:tcW w:w="686" w:type="pct"/>
            <w:vAlign w:val="center"/>
          </w:tcPr>
          <w:p w:rsidR="00526B0C" w:rsidRPr="00950DA0" w:rsidRDefault="00950DA0">
            <w:pPr>
              <w:keepNext/>
              <w:jc w:val="right"/>
              <w:rPr>
                <w:sz w:val="18"/>
                <w:szCs w:val="18"/>
              </w:rPr>
            </w:pPr>
            <w:r w:rsidRPr="00950DA0">
              <w:rPr>
                <w:sz w:val="18"/>
                <w:szCs w:val="18"/>
              </w:rPr>
              <w:t>624.229,41</w:t>
            </w:r>
          </w:p>
        </w:tc>
        <w:tc>
          <w:tcPr>
            <w:tcW w:w="686" w:type="pct"/>
            <w:vAlign w:val="center"/>
          </w:tcPr>
          <w:p w:rsidR="00526B0C" w:rsidRPr="00950DA0" w:rsidRDefault="00950DA0">
            <w:pPr>
              <w:keepNext/>
              <w:jc w:val="right"/>
              <w:rPr>
                <w:sz w:val="18"/>
                <w:szCs w:val="18"/>
              </w:rPr>
            </w:pPr>
            <w:r w:rsidRPr="00950DA0">
              <w:rPr>
                <w:sz w:val="18"/>
                <w:szCs w:val="18"/>
              </w:rPr>
              <w:t>569.901,46</w:t>
            </w:r>
          </w:p>
        </w:tc>
        <w:tc>
          <w:tcPr>
            <w:tcW w:w="593" w:type="pct"/>
            <w:vAlign w:val="center"/>
          </w:tcPr>
          <w:p w:rsidR="00526B0C" w:rsidRPr="00950DA0" w:rsidRDefault="00950DA0">
            <w:pPr>
              <w:keepNext/>
              <w:jc w:val="right"/>
              <w:rPr>
                <w:sz w:val="18"/>
                <w:szCs w:val="18"/>
              </w:rPr>
            </w:pPr>
            <w:r w:rsidRPr="00950DA0">
              <w:rPr>
                <w:sz w:val="18"/>
                <w:szCs w:val="18"/>
              </w:rPr>
              <w:t>54.327,95</w:t>
            </w:r>
          </w:p>
        </w:tc>
        <w:tc>
          <w:tcPr>
            <w:tcW w:w="724" w:type="pct"/>
            <w:vAlign w:val="center"/>
          </w:tcPr>
          <w:p w:rsidR="00526B0C" w:rsidRPr="00950DA0" w:rsidRDefault="00950DA0">
            <w:pPr>
              <w:keepNext/>
              <w:jc w:val="right"/>
              <w:rPr>
                <w:sz w:val="18"/>
                <w:szCs w:val="18"/>
              </w:rPr>
            </w:pPr>
            <w:r w:rsidRPr="00950DA0">
              <w:rPr>
                <w:sz w:val="18"/>
                <w:szCs w:val="18"/>
              </w:rPr>
              <w:t>1.739.179,58</w:t>
            </w:r>
          </w:p>
        </w:tc>
        <w:tc>
          <w:tcPr>
            <w:tcW w:w="714" w:type="pct"/>
            <w:vAlign w:val="center"/>
          </w:tcPr>
          <w:p w:rsidR="00526B0C" w:rsidRPr="00950DA0" w:rsidRDefault="00950DA0">
            <w:pPr>
              <w:keepNext/>
              <w:jc w:val="right"/>
              <w:rPr>
                <w:sz w:val="18"/>
                <w:szCs w:val="18"/>
              </w:rPr>
            </w:pPr>
            <w:r w:rsidRPr="00950DA0">
              <w:rPr>
                <w:sz w:val="18"/>
                <w:szCs w:val="18"/>
              </w:rPr>
              <w:t>1.793.507,53</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9</w:t>
            </w:r>
          </w:p>
        </w:tc>
        <w:tc>
          <w:tcPr>
            <w:tcW w:w="1322" w:type="pct"/>
            <w:vAlign w:val="center"/>
          </w:tcPr>
          <w:p w:rsidR="00526B0C" w:rsidRPr="00950DA0" w:rsidRDefault="00950DA0">
            <w:pPr>
              <w:keepNext/>
              <w:rPr>
                <w:sz w:val="18"/>
                <w:szCs w:val="18"/>
              </w:rPr>
            </w:pPr>
            <w:r w:rsidRPr="00950DA0">
              <w:rPr>
                <w:sz w:val="18"/>
                <w:szCs w:val="18"/>
              </w:rPr>
              <w:t>JU "Zavod za prostorno uređenje PGŽ"</w:t>
            </w:r>
          </w:p>
        </w:tc>
        <w:tc>
          <w:tcPr>
            <w:tcW w:w="686" w:type="pct"/>
            <w:vAlign w:val="center"/>
          </w:tcPr>
          <w:p w:rsidR="00526B0C" w:rsidRPr="00950DA0" w:rsidRDefault="00950DA0">
            <w:pPr>
              <w:keepNext/>
              <w:jc w:val="right"/>
              <w:rPr>
                <w:sz w:val="18"/>
                <w:szCs w:val="18"/>
              </w:rPr>
            </w:pPr>
            <w:r w:rsidRPr="00950DA0">
              <w:rPr>
                <w:sz w:val="18"/>
                <w:szCs w:val="18"/>
              </w:rPr>
              <w:t>693.888,93</w:t>
            </w:r>
          </w:p>
        </w:tc>
        <w:tc>
          <w:tcPr>
            <w:tcW w:w="686" w:type="pct"/>
            <w:vAlign w:val="center"/>
          </w:tcPr>
          <w:p w:rsidR="00526B0C" w:rsidRPr="00950DA0" w:rsidRDefault="00950DA0">
            <w:pPr>
              <w:keepNext/>
              <w:jc w:val="right"/>
              <w:rPr>
                <w:sz w:val="18"/>
                <w:szCs w:val="18"/>
              </w:rPr>
            </w:pPr>
            <w:r w:rsidRPr="00950DA0">
              <w:rPr>
                <w:sz w:val="18"/>
                <w:szCs w:val="18"/>
              </w:rPr>
              <w:t>637.712,11</w:t>
            </w:r>
          </w:p>
        </w:tc>
        <w:tc>
          <w:tcPr>
            <w:tcW w:w="593" w:type="pct"/>
            <w:vAlign w:val="center"/>
          </w:tcPr>
          <w:p w:rsidR="00526B0C" w:rsidRPr="00950DA0" w:rsidRDefault="00950DA0">
            <w:pPr>
              <w:keepNext/>
              <w:jc w:val="right"/>
              <w:rPr>
                <w:sz w:val="18"/>
                <w:szCs w:val="18"/>
              </w:rPr>
            </w:pPr>
            <w:r w:rsidRPr="00950DA0">
              <w:rPr>
                <w:sz w:val="18"/>
                <w:szCs w:val="18"/>
              </w:rPr>
              <w:t>56.176,82</w:t>
            </w:r>
          </w:p>
        </w:tc>
        <w:tc>
          <w:tcPr>
            <w:tcW w:w="724" w:type="pct"/>
            <w:vAlign w:val="center"/>
          </w:tcPr>
          <w:p w:rsidR="00526B0C" w:rsidRPr="00950DA0" w:rsidRDefault="00950DA0">
            <w:pPr>
              <w:keepNext/>
              <w:jc w:val="right"/>
              <w:rPr>
                <w:sz w:val="18"/>
                <w:szCs w:val="18"/>
              </w:rPr>
            </w:pPr>
            <w:r w:rsidRPr="00950DA0">
              <w:rPr>
                <w:sz w:val="18"/>
                <w:szCs w:val="18"/>
              </w:rPr>
              <w:t>-49.913,54</w:t>
            </w:r>
          </w:p>
        </w:tc>
        <w:tc>
          <w:tcPr>
            <w:tcW w:w="714" w:type="pct"/>
            <w:vAlign w:val="center"/>
          </w:tcPr>
          <w:p w:rsidR="00526B0C" w:rsidRPr="00950DA0" w:rsidRDefault="00950DA0">
            <w:pPr>
              <w:keepNext/>
              <w:jc w:val="right"/>
              <w:rPr>
                <w:sz w:val="18"/>
                <w:szCs w:val="18"/>
              </w:rPr>
            </w:pPr>
            <w:r w:rsidRPr="00950DA0">
              <w:rPr>
                <w:sz w:val="18"/>
                <w:szCs w:val="18"/>
              </w:rPr>
              <w:t>6.263,28</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10</w:t>
            </w:r>
          </w:p>
        </w:tc>
        <w:tc>
          <w:tcPr>
            <w:tcW w:w="1322" w:type="pct"/>
            <w:vAlign w:val="center"/>
          </w:tcPr>
          <w:p w:rsidR="00526B0C" w:rsidRPr="00950DA0" w:rsidRDefault="00950DA0">
            <w:pPr>
              <w:keepNext/>
              <w:rPr>
                <w:sz w:val="18"/>
                <w:szCs w:val="18"/>
              </w:rPr>
            </w:pPr>
            <w:r w:rsidRPr="00950DA0">
              <w:rPr>
                <w:sz w:val="18"/>
                <w:szCs w:val="18"/>
              </w:rPr>
              <w:t>JU "Priroda"</w:t>
            </w:r>
          </w:p>
        </w:tc>
        <w:tc>
          <w:tcPr>
            <w:tcW w:w="686" w:type="pct"/>
            <w:vAlign w:val="center"/>
          </w:tcPr>
          <w:p w:rsidR="00526B0C" w:rsidRPr="00950DA0" w:rsidRDefault="00950DA0">
            <w:pPr>
              <w:keepNext/>
              <w:jc w:val="right"/>
              <w:rPr>
                <w:sz w:val="18"/>
                <w:szCs w:val="18"/>
              </w:rPr>
            </w:pPr>
            <w:r w:rsidRPr="00950DA0">
              <w:rPr>
                <w:sz w:val="18"/>
                <w:szCs w:val="18"/>
              </w:rPr>
              <w:t>522.945,50</w:t>
            </w:r>
          </w:p>
        </w:tc>
        <w:tc>
          <w:tcPr>
            <w:tcW w:w="686" w:type="pct"/>
            <w:vAlign w:val="center"/>
          </w:tcPr>
          <w:p w:rsidR="00526B0C" w:rsidRPr="00950DA0" w:rsidRDefault="00950DA0">
            <w:pPr>
              <w:keepNext/>
              <w:jc w:val="right"/>
              <w:rPr>
                <w:sz w:val="18"/>
                <w:szCs w:val="18"/>
              </w:rPr>
            </w:pPr>
            <w:r w:rsidRPr="00950DA0">
              <w:rPr>
                <w:sz w:val="18"/>
                <w:szCs w:val="18"/>
              </w:rPr>
              <w:t>414.925,47</w:t>
            </w:r>
          </w:p>
        </w:tc>
        <w:tc>
          <w:tcPr>
            <w:tcW w:w="593" w:type="pct"/>
            <w:vAlign w:val="center"/>
          </w:tcPr>
          <w:p w:rsidR="00526B0C" w:rsidRPr="00950DA0" w:rsidRDefault="00950DA0">
            <w:pPr>
              <w:keepNext/>
              <w:jc w:val="right"/>
              <w:rPr>
                <w:sz w:val="18"/>
                <w:szCs w:val="18"/>
              </w:rPr>
            </w:pPr>
            <w:r w:rsidRPr="00950DA0">
              <w:rPr>
                <w:sz w:val="18"/>
                <w:szCs w:val="18"/>
              </w:rPr>
              <w:t>108.020,03</w:t>
            </w:r>
          </w:p>
        </w:tc>
        <w:tc>
          <w:tcPr>
            <w:tcW w:w="724" w:type="pct"/>
            <w:vAlign w:val="center"/>
          </w:tcPr>
          <w:p w:rsidR="00526B0C" w:rsidRPr="00950DA0" w:rsidRDefault="00950DA0">
            <w:pPr>
              <w:keepNext/>
              <w:jc w:val="right"/>
              <w:rPr>
                <w:sz w:val="18"/>
                <w:szCs w:val="18"/>
              </w:rPr>
            </w:pPr>
            <w:r w:rsidRPr="00950DA0">
              <w:rPr>
                <w:sz w:val="18"/>
                <w:szCs w:val="18"/>
              </w:rPr>
              <w:t>35.788,12</w:t>
            </w:r>
          </w:p>
        </w:tc>
        <w:tc>
          <w:tcPr>
            <w:tcW w:w="714" w:type="pct"/>
            <w:vAlign w:val="center"/>
          </w:tcPr>
          <w:p w:rsidR="00526B0C" w:rsidRPr="00950DA0" w:rsidRDefault="00950DA0">
            <w:pPr>
              <w:keepNext/>
              <w:jc w:val="right"/>
              <w:rPr>
                <w:sz w:val="18"/>
                <w:szCs w:val="18"/>
              </w:rPr>
            </w:pPr>
            <w:r w:rsidRPr="00950DA0">
              <w:rPr>
                <w:sz w:val="18"/>
                <w:szCs w:val="18"/>
              </w:rPr>
              <w:t>143.808,15</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11</w:t>
            </w:r>
          </w:p>
        </w:tc>
        <w:tc>
          <w:tcPr>
            <w:tcW w:w="1322" w:type="pct"/>
            <w:vAlign w:val="center"/>
          </w:tcPr>
          <w:p w:rsidR="00526B0C" w:rsidRPr="00950DA0" w:rsidRDefault="00950DA0">
            <w:pPr>
              <w:keepNext/>
              <w:rPr>
                <w:sz w:val="18"/>
                <w:szCs w:val="18"/>
              </w:rPr>
            </w:pPr>
            <w:r w:rsidRPr="00950DA0">
              <w:rPr>
                <w:sz w:val="18"/>
                <w:szCs w:val="18"/>
              </w:rPr>
              <w:t>Centar za poljoprivredu i ruralni razvoj</w:t>
            </w:r>
          </w:p>
        </w:tc>
        <w:tc>
          <w:tcPr>
            <w:tcW w:w="686" w:type="pct"/>
            <w:vAlign w:val="center"/>
          </w:tcPr>
          <w:p w:rsidR="00526B0C" w:rsidRPr="00950DA0" w:rsidRDefault="00950DA0">
            <w:pPr>
              <w:keepNext/>
              <w:jc w:val="right"/>
              <w:rPr>
                <w:sz w:val="18"/>
                <w:szCs w:val="18"/>
              </w:rPr>
            </w:pPr>
            <w:r w:rsidRPr="00950DA0">
              <w:rPr>
                <w:sz w:val="18"/>
                <w:szCs w:val="18"/>
              </w:rPr>
              <w:t>363.518,59</w:t>
            </w:r>
          </w:p>
        </w:tc>
        <w:tc>
          <w:tcPr>
            <w:tcW w:w="686" w:type="pct"/>
            <w:vAlign w:val="center"/>
          </w:tcPr>
          <w:p w:rsidR="00526B0C" w:rsidRPr="00950DA0" w:rsidRDefault="00950DA0">
            <w:pPr>
              <w:keepNext/>
              <w:jc w:val="right"/>
              <w:rPr>
                <w:sz w:val="18"/>
                <w:szCs w:val="18"/>
              </w:rPr>
            </w:pPr>
            <w:r w:rsidRPr="00950DA0">
              <w:rPr>
                <w:sz w:val="18"/>
                <w:szCs w:val="18"/>
              </w:rPr>
              <w:t>338.874,10</w:t>
            </w:r>
          </w:p>
        </w:tc>
        <w:tc>
          <w:tcPr>
            <w:tcW w:w="593" w:type="pct"/>
            <w:vAlign w:val="center"/>
          </w:tcPr>
          <w:p w:rsidR="00526B0C" w:rsidRPr="00950DA0" w:rsidRDefault="00950DA0">
            <w:pPr>
              <w:keepNext/>
              <w:jc w:val="right"/>
              <w:rPr>
                <w:sz w:val="18"/>
                <w:szCs w:val="18"/>
              </w:rPr>
            </w:pPr>
            <w:r w:rsidRPr="00950DA0">
              <w:rPr>
                <w:sz w:val="18"/>
                <w:szCs w:val="18"/>
              </w:rPr>
              <w:t>24.644,49</w:t>
            </w:r>
          </w:p>
        </w:tc>
        <w:tc>
          <w:tcPr>
            <w:tcW w:w="724" w:type="pct"/>
            <w:vAlign w:val="center"/>
          </w:tcPr>
          <w:p w:rsidR="00526B0C" w:rsidRPr="00950DA0" w:rsidRDefault="00950DA0">
            <w:pPr>
              <w:keepNext/>
              <w:jc w:val="right"/>
              <w:rPr>
                <w:sz w:val="18"/>
                <w:szCs w:val="18"/>
              </w:rPr>
            </w:pPr>
            <w:r w:rsidRPr="00950DA0">
              <w:rPr>
                <w:sz w:val="18"/>
                <w:szCs w:val="18"/>
              </w:rPr>
              <w:t>-12.286,30</w:t>
            </w:r>
          </w:p>
        </w:tc>
        <w:tc>
          <w:tcPr>
            <w:tcW w:w="714" w:type="pct"/>
            <w:vAlign w:val="center"/>
          </w:tcPr>
          <w:p w:rsidR="00526B0C" w:rsidRPr="00950DA0" w:rsidRDefault="00950DA0">
            <w:pPr>
              <w:keepNext/>
              <w:jc w:val="right"/>
              <w:rPr>
                <w:sz w:val="18"/>
                <w:szCs w:val="18"/>
              </w:rPr>
            </w:pPr>
            <w:r w:rsidRPr="00950DA0">
              <w:rPr>
                <w:sz w:val="18"/>
                <w:szCs w:val="18"/>
              </w:rPr>
              <w:t>12.358,19</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12</w:t>
            </w:r>
          </w:p>
        </w:tc>
        <w:tc>
          <w:tcPr>
            <w:tcW w:w="1322" w:type="pct"/>
            <w:vAlign w:val="center"/>
          </w:tcPr>
          <w:p w:rsidR="00526B0C" w:rsidRPr="00950DA0" w:rsidRDefault="00950DA0">
            <w:pPr>
              <w:keepNext/>
              <w:rPr>
                <w:sz w:val="18"/>
                <w:szCs w:val="18"/>
              </w:rPr>
            </w:pPr>
            <w:r w:rsidRPr="00950DA0">
              <w:rPr>
                <w:sz w:val="18"/>
                <w:szCs w:val="18"/>
              </w:rPr>
              <w:t>Regionalna razvojna agencija PGŽ</w:t>
            </w:r>
          </w:p>
        </w:tc>
        <w:tc>
          <w:tcPr>
            <w:tcW w:w="686" w:type="pct"/>
            <w:vAlign w:val="center"/>
          </w:tcPr>
          <w:p w:rsidR="00526B0C" w:rsidRPr="00950DA0" w:rsidRDefault="00950DA0">
            <w:pPr>
              <w:keepNext/>
              <w:jc w:val="right"/>
              <w:rPr>
                <w:sz w:val="18"/>
                <w:szCs w:val="18"/>
              </w:rPr>
            </w:pPr>
            <w:r w:rsidRPr="00950DA0">
              <w:rPr>
                <w:sz w:val="18"/>
                <w:szCs w:val="18"/>
              </w:rPr>
              <w:t>472.796,62</w:t>
            </w:r>
          </w:p>
        </w:tc>
        <w:tc>
          <w:tcPr>
            <w:tcW w:w="686" w:type="pct"/>
            <w:vAlign w:val="center"/>
          </w:tcPr>
          <w:p w:rsidR="00526B0C" w:rsidRPr="00950DA0" w:rsidRDefault="00950DA0">
            <w:pPr>
              <w:keepNext/>
              <w:jc w:val="right"/>
              <w:rPr>
                <w:sz w:val="18"/>
                <w:szCs w:val="18"/>
              </w:rPr>
            </w:pPr>
            <w:r w:rsidRPr="00950DA0">
              <w:rPr>
                <w:sz w:val="18"/>
                <w:szCs w:val="18"/>
              </w:rPr>
              <w:t>497.956,97</w:t>
            </w:r>
          </w:p>
        </w:tc>
        <w:tc>
          <w:tcPr>
            <w:tcW w:w="593" w:type="pct"/>
            <w:vAlign w:val="center"/>
          </w:tcPr>
          <w:p w:rsidR="00526B0C" w:rsidRPr="00950DA0" w:rsidRDefault="00950DA0">
            <w:pPr>
              <w:keepNext/>
              <w:jc w:val="right"/>
              <w:rPr>
                <w:sz w:val="18"/>
                <w:szCs w:val="18"/>
              </w:rPr>
            </w:pPr>
            <w:r w:rsidRPr="00950DA0">
              <w:rPr>
                <w:sz w:val="18"/>
                <w:szCs w:val="18"/>
              </w:rPr>
              <w:t>-25.160,35</w:t>
            </w:r>
          </w:p>
        </w:tc>
        <w:tc>
          <w:tcPr>
            <w:tcW w:w="724" w:type="pct"/>
            <w:vAlign w:val="center"/>
          </w:tcPr>
          <w:p w:rsidR="00526B0C" w:rsidRPr="00950DA0" w:rsidRDefault="00950DA0">
            <w:pPr>
              <w:keepNext/>
              <w:jc w:val="right"/>
              <w:rPr>
                <w:sz w:val="18"/>
                <w:szCs w:val="18"/>
              </w:rPr>
            </w:pPr>
            <w:r w:rsidRPr="00950DA0">
              <w:rPr>
                <w:sz w:val="18"/>
                <w:szCs w:val="18"/>
              </w:rPr>
              <w:t>-74.946,25</w:t>
            </w:r>
          </w:p>
        </w:tc>
        <w:tc>
          <w:tcPr>
            <w:tcW w:w="714" w:type="pct"/>
            <w:vAlign w:val="center"/>
          </w:tcPr>
          <w:p w:rsidR="00526B0C" w:rsidRPr="00950DA0" w:rsidRDefault="00950DA0">
            <w:pPr>
              <w:keepNext/>
              <w:jc w:val="right"/>
              <w:rPr>
                <w:sz w:val="18"/>
                <w:szCs w:val="18"/>
              </w:rPr>
            </w:pPr>
            <w:r w:rsidRPr="00950DA0">
              <w:rPr>
                <w:sz w:val="18"/>
                <w:szCs w:val="18"/>
              </w:rPr>
              <w:t>-100.106,60</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13</w:t>
            </w:r>
          </w:p>
        </w:tc>
        <w:tc>
          <w:tcPr>
            <w:tcW w:w="1322" w:type="pct"/>
            <w:vAlign w:val="center"/>
          </w:tcPr>
          <w:p w:rsidR="00526B0C" w:rsidRPr="00950DA0" w:rsidRDefault="00950DA0">
            <w:pPr>
              <w:keepNext/>
              <w:rPr>
                <w:sz w:val="18"/>
                <w:szCs w:val="18"/>
              </w:rPr>
            </w:pPr>
            <w:r w:rsidRPr="00950DA0">
              <w:rPr>
                <w:sz w:val="18"/>
                <w:szCs w:val="18"/>
              </w:rPr>
              <w:t>Regionalna energetska agencija Kvarner</w:t>
            </w:r>
          </w:p>
        </w:tc>
        <w:tc>
          <w:tcPr>
            <w:tcW w:w="686" w:type="pct"/>
            <w:vAlign w:val="center"/>
          </w:tcPr>
          <w:p w:rsidR="00526B0C" w:rsidRPr="00950DA0" w:rsidRDefault="00950DA0">
            <w:pPr>
              <w:keepNext/>
              <w:jc w:val="right"/>
              <w:rPr>
                <w:sz w:val="18"/>
                <w:szCs w:val="18"/>
              </w:rPr>
            </w:pPr>
            <w:r w:rsidRPr="00950DA0">
              <w:rPr>
                <w:sz w:val="18"/>
                <w:szCs w:val="18"/>
              </w:rPr>
              <w:t>184.774,98</w:t>
            </w:r>
          </w:p>
        </w:tc>
        <w:tc>
          <w:tcPr>
            <w:tcW w:w="686" w:type="pct"/>
            <w:vAlign w:val="center"/>
          </w:tcPr>
          <w:p w:rsidR="00526B0C" w:rsidRPr="00950DA0" w:rsidRDefault="00950DA0">
            <w:pPr>
              <w:keepNext/>
              <w:jc w:val="right"/>
              <w:rPr>
                <w:sz w:val="18"/>
                <w:szCs w:val="18"/>
              </w:rPr>
            </w:pPr>
            <w:r w:rsidRPr="00950DA0">
              <w:rPr>
                <w:sz w:val="18"/>
                <w:szCs w:val="18"/>
              </w:rPr>
              <w:t>213.407,65</w:t>
            </w:r>
          </w:p>
        </w:tc>
        <w:tc>
          <w:tcPr>
            <w:tcW w:w="593" w:type="pct"/>
            <w:vAlign w:val="center"/>
          </w:tcPr>
          <w:p w:rsidR="00526B0C" w:rsidRPr="00950DA0" w:rsidRDefault="00950DA0">
            <w:pPr>
              <w:keepNext/>
              <w:jc w:val="right"/>
              <w:rPr>
                <w:sz w:val="18"/>
                <w:szCs w:val="18"/>
              </w:rPr>
            </w:pPr>
            <w:r w:rsidRPr="00950DA0">
              <w:rPr>
                <w:sz w:val="18"/>
                <w:szCs w:val="18"/>
              </w:rPr>
              <w:t>-28.632,67</w:t>
            </w:r>
          </w:p>
        </w:tc>
        <w:tc>
          <w:tcPr>
            <w:tcW w:w="724" w:type="pct"/>
            <w:vAlign w:val="center"/>
          </w:tcPr>
          <w:p w:rsidR="00526B0C" w:rsidRPr="00950DA0" w:rsidRDefault="00950DA0">
            <w:pPr>
              <w:keepNext/>
              <w:jc w:val="right"/>
              <w:rPr>
                <w:sz w:val="18"/>
                <w:szCs w:val="18"/>
              </w:rPr>
            </w:pPr>
            <w:r w:rsidRPr="00950DA0">
              <w:rPr>
                <w:sz w:val="18"/>
                <w:szCs w:val="18"/>
              </w:rPr>
              <w:t>-18.424,29</w:t>
            </w:r>
          </w:p>
        </w:tc>
        <w:tc>
          <w:tcPr>
            <w:tcW w:w="714" w:type="pct"/>
            <w:vAlign w:val="center"/>
          </w:tcPr>
          <w:p w:rsidR="00526B0C" w:rsidRPr="00950DA0" w:rsidRDefault="00950DA0">
            <w:pPr>
              <w:keepNext/>
              <w:jc w:val="right"/>
              <w:rPr>
                <w:sz w:val="18"/>
                <w:szCs w:val="18"/>
              </w:rPr>
            </w:pPr>
            <w:r w:rsidRPr="00950DA0">
              <w:rPr>
                <w:sz w:val="18"/>
                <w:szCs w:val="18"/>
              </w:rPr>
              <w:t>-47.056,96</w:t>
            </w:r>
          </w:p>
        </w:tc>
      </w:tr>
      <w:tr w:rsidR="00526B0C" w:rsidRPr="00950DA0" w:rsidTr="00950DA0">
        <w:trPr>
          <w:trHeight w:val="397"/>
        </w:trPr>
        <w:tc>
          <w:tcPr>
            <w:tcW w:w="275" w:type="pct"/>
            <w:vAlign w:val="center"/>
          </w:tcPr>
          <w:p w:rsidR="00526B0C" w:rsidRPr="00950DA0" w:rsidRDefault="00950DA0">
            <w:pPr>
              <w:keepNext/>
              <w:jc w:val="center"/>
              <w:rPr>
                <w:sz w:val="18"/>
                <w:szCs w:val="18"/>
              </w:rPr>
            </w:pPr>
            <w:r w:rsidRPr="00950DA0">
              <w:rPr>
                <w:sz w:val="18"/>
                <w:szCs w:val="18"/>
              </w:rPr>
              <w:t>14</w:t>
            </w:r>
          </w:p>
        </w:tc>
        <w:tc>
          <w:tcPr>
            <w:tcW w:w="1322" w:type="pct"/>
            <w:vAlign w:val="center"/>
          </w:tcPr>
          <w:p w:rsidR="00526B0C" w:rsidRPr="00950DA0" w:rsidRDefault="00950DA0">
            <w:pPr>
              <w:keepNext/>
              <w:rPr>
                <w:sz w:val="18"/>
                <w:szCs w:val="18"/>
              </w:rPr>
            </w:pPr>
            <w:r w:rsidRPr="00950DA0">
              <w:rPr>
                <w:sz w:val="18"/>
                <w:szCs w:val="18"/>
              </w:rPr>
              <w:t>Vijeća nacionalnih manjina</w:t>
            </w:r>
          </w:p>
        </w:tc>
        <w:tc>
          <w:tcPr>
            <w:tcW w:w="686" w:type="pct"/>
            <w:vAlign w:val="center"/>
          </w:tcPr>
          <w:p w:rsidR="00526B0C" w:rsidRPr="00950DA0" w:rsidRDefault="00950DA0">
            <w:pPr>
              <w:keepNext/>
              <w:jc w:val="right"/>
              <w:rPr>
                <w:sz w:val="18"/>
                <w:szCs w:val="18"/>
              </w:rPr>
            </w:pPr>
            <w:r w:rsidRPr="00950DA0">
              <w:rPr>
                <w:sz w:val="18"/>
                <w:szCs w:val="18"/>
              </w:rPr>
              <w:t>51.997,00</w:t>
            </w:r>
          </w:p>
        </w:tc>
        <w:tc>
          <w:tcPr>
            <w:tcW w:w="686" w:type="pct"/>
            <w:vAlign w:val="center"/>
          </w:tcPr>
          <w:p w:rsidR="00526B0C" w:rsidRPr="00950DA0" w:rsidRDefault="00950DA0">
            <w:pPr>
              <w:keepNext/>
              <w:jc w:val="right"/>
              <w:rPr>
                <w:sz w:val="18"/>
                <w:szCs w:val="18"/>
              </w:rPr>
            </w:pPr>
            <w:r w:rsidRPr="00950DA0">
              <w:rPr>
                <w:sz w:val="18"/>
                <w:szCs w:val="18"/>
              </w:rPr>
              <w:t>52.012,57</w:t>
            </w:r>
          </w:p>
        </w:tc>
        <w:tc>
          <w:tcPr>
            <w:tcW w:w="593" w:type="pct"/>
            <w:vAlign w:val="center"/>
          </w:tcPr>
          <w:p w:rsidR="00526B0C" w:rsidRPr="00950DA0" w:rsidRDefault="00950DA0">
            <w:pPr>
              <w:keepNext/>
              <w:jc w:val="right"/>
              <w:rPr>
                <w:sz w:val="18"/>
                <w:szCs w:val="18"/>
              </w:rPr>
            </w:pPr>
            <w:r w:rsidRPr="00950DA0">
              <w:rPr>
                <w:sz w:val="18"/>
                <w:szCs w:val="18"/>
              </w:rPr>
              <w:t>-15,57</w:t>
            </w:r>
          </w:p>
        </w:tc>
        <w:tc>
          <w:tcPr>
            <w:tcW w:w="724" w:type="pct"/>
            <w:vAlign w:val="center"/>
          </w:tcPr>
          <w:p w:rsidR="00526B0C" w:rsidRPr="00950DA0" w:rsidRDefault="00950DA0">
            <w:pPr>
              <w:keepNext/>
              <w:jc w:val="right"/>
              <w:rPr>
                <w:sz w:val="18"/>
                <w:szCs w:val="18"/>
              </w:rPr>
            </w:pPr>
            <w:r w:rsidRPr="00950DA0">
              <w:rPr>
                <w:sz w:val="18"/>
                <w:szCs w:val="18"/>
              </w:rPr>
              <w:t>11.668,17</w:t>
            </w:r>
          </w:p>
        </w:tc>
        <w:tc>
          <w:tcPr>
            <w:tcW w:w="714" w:type="pct"/>
            <w:vAlign w:val="center"/>
          </w:tcPr>
          <w:p w:rsidR="00526B0C" w:rsidRPr="00950DA0" w:rsidRDefault="00950DA0">
            <w:pPr>
              <w:keepNext/>
              <w:jc w:val="right"/>
              <w:rPr>
                <w:sz w:val="18"/>
                <w:szCs w:val="18"/>
              </w:rPr>
            </w:pPr>
            <w:r w:rsidRPr="00950DA0">
              <w:rPr>
                <w:sz w:val="18"/>
                <w:szCs w:val="18"/>
              </w:rPr>
              <w:t>11.652,60</w:t>
            </w:r>
          </w:p>
        </w:tc>
      </w:tr>
      <w:tr w:rsidR="00950DA0" w:rsidRPr="00950DA0" w:rsidTr="00950DA0">
        <w:trPr>
          <w:trHeight w:val="542"/>
        </w:trPr>
        <w:tc>
          <w:tcPr>
            <w:tcW w:w="275" w:type="pct"/>
            <w:shd w:val="clear" w:color="auto" w:fill="DEEAF6" w:themeFill="accent1" w:themeFillTint="33"/>
            <w:vAlign w:val="center"/>
          </w:tcPr>
          <w:p w:rsidR="00526B0C" w:rsidRPr="00950DA0" w:rsidRDefault="00950DA0">
            <w:pPr>
              <w:rPr>
                <w:sz w:val="18"/>
                <w:szCs w:val="18"/>
              </w:rPr>
            </w:pPr>
            <w:r w:rsidRPr="00950DA0">
              <w:rPr>
                <w:sz w:val="18"/>
                <w:szCs w:val="18"/>
              </w:rPr>
              <w:t> </w:t>
            </w:r>
          </w:p>
        </w:tc>
        <w:tc>
          <w:tcPr>
            <w:tcW w:w="1322" w:type="pct"/>
            <w:shd w:val="clear" w:color="auto" w:fill="DEEAF6" w:themeFill="accent1" w:themeFillTint="33"/>
            <w:vAlign w:val="center"/>
          </w:tcPr>
          <w:p w:rsidR="00526B0C" w:rsidRPr="00950DA0" w:rsidRDefault="00950DA0">
            <w:pPr>
              <w:rPr>
                <w:sz w:val="18"/>
                <w:szCs w:val="18"/>
              </w:rPr>
            </w:pPr>
            <w:r w:rsidRPr="00950DA0">
              <w:rPr>
                <w:b/>
                <w:sz w:val="18"/>
                <w:szCs w:val="18"/>
              </w:rPr>
              <w:t>Ukupno</w:t>
            </w:r>
          </w:p>
        </w:tc>
        <w:tc>
          <w:tcPr>
            <w:tcW w:w="686" w:type="pct"/>
            <w:shd w:val="clear" w:color="auto" w:fill="DEEAF6" w:themeFill="accent1" w:themeFillTint="33"/>
            <w:vAlign w:val="center"/>
          </w:tcPr>
          <w:p w:rsidR="00526B0C" w:rsidRPr="00950DA0" w:rsidRDefault="00950DA0">
            <w:pPr>
              <w:keepNext/>
              <w:jc w:val="right"/>
              <w:rPr>
                <w:sz w:val="18"/>
                <w:szCs w:val="18"/>
              </w:rPr>
            </w:pPr>
            <w:r w:rsidRPr="00950DA0">
              <w:rPr>
                <w:b/>
                <w:sz w:val="18"/>
                <w:szCs w:val="18"/>
              </w:rPr>
              <w:t>190.931.768,92</w:t>
            </w:r>
          </w:p>
        </w:tc>
        <w:tc>
          <w:tcPr>
            <w:tcW w:w="686" w:type="pct"/>
            <w:shd w:val="clear" w:color="auto" w:fill="DEEAF6" w:themeFill="accent1" w:themeFillTint="33"/>
            <w:vAlign w:val="center"/>
          </w:tcPr>
          <w:p w:rsidR="00526B0C" w:rsidRPr="00950DA0" w:rsidRDefault="00950DA0">
            <w:pPr>
              <w:keepNext/>
              <w:jc w:val="right"/>
              <w:rPr>
                <w:sz w:val="18"/>
                <w:szCs w:val="18"/>
              </w:rPr>
            </w:pPr>
            <w:r w:rsidRPr="00950DA0">
              <w:rPr>
                <w:b/>
                <w:sz w:val="18"/>
                <w:szCs w:val="18"/>
              </w:rPr>
              <w:t>190.022.581,77</w:t>
            </w:r>
          </w:p>
        </w:tc>
        <w:tc>
          <w:tcPr>
            <w:tcW w:w="593" w:type="pct"/>
            <w:shd w:val="clear" w:color="auto" w:fill="DEEAF6" w:themeFill="accent1" w:themeFillTint="33"/>
            <w:vAlign w:val="center"/>
          </w:tcPr>
          <w:p w:rsidR="00526B0C" w:rsidRPr="00950DA0" w:rsidRDefault="00950DA0">
            <w:pPr>
              <w:keepNext/>
              <w:jc w:val="right"/>
              <w:rPr>
                <w:sz w:val="18"/>
                <w:szCs w:val="18"/>
              </w:rPr>
            </w:pPr>
            <w:r w:rsidRPr="00950DA0">
              <w:rPr>
                <w:b/>
                <w:sz w:val="18"/>
                <w:szCs w:val="18"/>
              </w:rPr>
              <w:t>909.187,15</w:t>
            </w:r>
          </w:p>
        </w:tc>
        <w:tc>
          <w:tcPr>
            <w:tcW w:w="724" w:type="pct"/>
            <w:shd w:val="clear" w:color="auto" w:fill="DEEAF6" w:themeFill="accent1" w:themeFillTint="33"/>
            <w:vAlign w:val="center"/>
          </w:tcPr>
          <w:p w:rsidR="00526B0C" w:rsidRPr="00950DA0" w:rsidRDefault="00950DA0">
            <w:pPr>
              <w:keepNext/>
              <w:jc w:val="right"/>
              <w:rPr>
                <w:sz w:val="18"/>
                <w:szCs w:val="18"/>
              </w:rPr>
            </w:pPr>
            <w:r w:rsidRPr="00950DA0">
              <w:rPr>
                <w:b/>
                <w:sz w:val="18"/>
                <w:szCs w:val="18"/>
              </w:rPr>
              <w:t>22.728.784,29</w:t>
            </w:r>
          </w:p>
        </w:tc>
        <w:tc>
          <w:tcPr>
            <w:tcW w:w="714" w:type="pct"/>
            <w:shd w:val="clear" w:color="auto" w:fill="DEEAF6" w:themeFill="accent1" w:themeFillTint="33"/>
            <w:vAlign w:val="center"/>
          </w:tcPr>
          <w:p w:rsidR="00526B0C" w:rsidRPr="00950DA0" w:rsidRDefault="00950DA0">
            <w:pPr>
              <w:keepNext/>
              <w:jc w:val="right"/>
              <w:rPr>
                <w:sz w:val="18"/>
                <w:szCs w:val="18"/>
              </w:rPr>
            </w:pPr>
            <w:r w:rsidRPr="00950DA0">
              <w:rPr>
                <w:b/>
                <w:sz w:val="18"/>
                <w:szCs w:val="18"/>
              </w:rPr>
              <w:t>23.637.971,44</w:t>
            </w:r>
          </w:p>
        </w:tc>
      </w:tr>
    </w:tbl>
    <w:p w:rsidR="00526B0C" w:rsidRPr="00950DA0" w:rsidRDefault="00950DA0" w:rsidP="00950DA0">
      <w:pPr>
        <w:spacing w:before="120"/>
        <w:jc w:val="both"/>
        <w:rPr>
          <w:sz w:val="20"/>
        </w:rPr>
      </w:pPr>
      <w:r w:rsidRPr="00950DA0">
        <w:rPr>
          <w:sz w:val="20"/>
        </w:rPr>
        <w:t xml:space="preserve">* Iskazani su prihodi/primici i rashodi/izdaci prije izvršenih obveznih eliminacija </w:t>
      </w:r>
      <w:proofErr w:type="spellStart"/>
      <w:r w:rsidRPr="00950DA0">
        <w:rPr>
          <w:sz w:val="20"/>
        </w:rPr>
        <w:t>unutargrupnih</w:t>
      </w:r>
      <w:proofErr w:type="spellEnd"/>
      <w:r w:rsidRPr="00950DA0">
        <w:rPr>
          <w:sz w:val="20"/>
        </w:rPr>
        <w:t xml:space="preserve"> transakcija (Bilješka br. </w:t>
      </w:r>
      <w:r w:rsidR="00451C21">
        <w:rPr>
          <w:sz w:val="20"/>
        </w:rPr>
        <w:t>25</w:t>
      </w:r>
      <w:bookmarkStart w:id="0" w:name="_GoBack"/>
      <w:bookmarkEnd w:id="0"/>
      <w:r w:rsidRPr="00950DA0">
        <w:rPr>
          <w:sz w:val="20"/>
        </w:rPr>
        <w:t>).</w:t>
      </w:r>
    </w:p>
    <w:p w:rsidR="00950DA0" w:rsidRDefault="00950DA0" w:rsidP="00950DA0">
      <w:pPr>
        <w:pStyle w:val="BodyText"/>
        <w:rPr>
          <w:sz w:val="24"/>
        </w:rPr>
      </w:pPr>
    </w:p>
    <w:p w:rsidR="00950DA0" w:rsidRPr="00E64D81" w:rsidRDefault="00950DA0" w:rsidP="00950DA0">
      <w:pPr>
        <w:pStyle w:val="BodyText"/>
        <w:rPr>
          <w:sz w:val="24"/>
        </w:rPr>
      </w:pPr>
      <w:r w:rsidRPr="00E64D81">
        <w:rPr>
          <w:sz w:val="24"/>
        </w:rPr>
        <w:t xml:space="preserve">Mjesto i datum:  Rijeka, </w:t>
      </w:r>
      <w:r>
        <w:rPr>
          <w:sz w:val="24"/>
        </w:rPr>
        <w:t>24</w:t>
      </w:r>
      <w:r w:rsidRPr="00E64D81">
        <w:rPr>
          <w:sz w:val="24"/>
        </w:rPr>
        <w:t xml:space="preserve">. </w:t>
      </w:r>
      <w:r>
        <w:rPr>
          <w:sz w:val="24"/>
        </w:rPr>
        <w:t>srpnja</w:t>
      </w:r>
      <w:r w:rsidRPr="00E64D81">
        <w:rPr>
          <w:sz w:val="24"/>
        </w:rPr>
        <w:t xml:space="preserve"> 2026. godine.</w:t>
      </w:r>
    </w:p>
    <w:p w:rsidR="00950DA0" w:rsidRPr="00E64D81" w:rsidRDefault="00950DA0" w:rsidP="00950DA0">
      <w:pPr>
        <w:pStyle w:val="BodyText"/>
        <w:rPr>
          <w:color w:val="FF0000"/>
          <w:sz w:val="24"/>
        </w:rPr>
      </w:pPr>
    </w:p>
    <w:p w:rsidR="00950DA0" w:rsidRPr="006C0D14" w:rsidRDefault="00950DA0" w:rsidP="00950DA0">
      <w:pPr>
        <w:pStyle w:val="BodyText"/>
        <w:rPr>
          <w:sz w:val="22"/>
          <w:szCs w:val="22"/>
        </w:rPr>
      </w:pPr>
    </w:p>
    <w:p w:rsidR="00950DA0" w:rsidRPr="00E64D81" w:rsidRDefault="00950DA0" w:rsidP="00950DA0">
      <w:pPr>
        <w:pStyle w:val="BodyText"/>
        <w:ind w:firstLine="708"/>
        <w:rPr>
          <w:sz w:val="24"/>
        </w:rPr>
      </w:pPr>
      <w:r w:rsidRPr="00E64D81">
        <w:rPr>
          <w:sz w:val="24"/>
        </w:rPr>
        <w:t>Bilješke sastavila:</w:t>
      </w:r>
    </w:p>
    <w:p w:rsidR="00950DA0" w:rsidRPr="00E64D81" w:rsidRDefault="00950DA0" w:rsidP="00950DA0">
      <w:pPr>
        <w:pStyle w:val="BodyText"/>
        <w:rPr>
          <w:sz w:val="24"/>
        </w:rPr>
      </w:pPr>
    </w:p>
    <w:p w:rsidR="00950DA0" w:rsidRPr="00E64D81" w:rsidRDefault="00950DA0" w:rsidP="00950DA0">
      <w:pPr>
        <w:pStyle w:val="BodyText"/>
        <w:rPr>
          <w:sz w:val="24"/>
        </w:rPr>
      </w:pPr>
      <w:r w:rsidRPr="00E64D81">
        <w:rPr>
          <w:sz w:val="24"/>
        </w:rPr>
        <w:t xml:space="preserve"> _________________________</w:t>
      </w:r>
    </w:p>
    <w:p w:rsidR="00950DA0" w:rsidRPr="00E64D81" w:rsidRDefault="00950DA0" w:rsidP="00950DA0">
      <w:pPr>
        <w:spacing w:before="120"/>
        <w:rPr>
          <w:szCs w:val="24"/>
        </w:rPr>
      </w:pPr>
      <w:r w:rsidRPr="00E64D81">
        <w:rPr>
          <w:szCs w:val="24"/>
        </w:rPr>
        <w:t xml:space="preserve">      Jasmina Hadžić, </w:t>
      </w:r>
      <w:proofErr w:type="spellStart"/>
      <w:r w:rsidRPr="00E64D81">
        <w:rPr>
          <w:szCs w:val="24"/>
        </w:rPr>
        <w:t>dipl.oec</w:t>
      </w:r>
      <w:proofErr w:type="spellEnd"/>
      <w:r w:rsidRPr="00E64D81">
        <w:rPr>
          <w:szCs w:val="24"/>
        </w:rPr>
        <w:t xml:space="preserve">.                        </w:t>
      </w:r>
    </w:p>
    <w:p w:rsidR="00950DA0" w:rsidRPr="00E64D81" w:rsidRDefault="00950DA0" w:rsidP="00950DA0">
      <w:pPr>
        <w:pStyle w:val="BodyText"/>
        <w:rPr>
          <w:sz w:val="24"/>
        </w:rPr>
      </w:pPr>
    </w:p>
    <w:p w:rsidR="00950DA0" w:rsidRPr="006C0D14" w:rsidRDefault="00950DA0" w:rsidP="00950DA0">
      <w:pPr>
        <w:pStyle w:val="BodyText"/>
        <w:rPr>
          <w:sz w:val="16"/>
          <w:szCs w:val="16"/>
        </w:rPr>
      </w:pPr>
    </w:p>
    <w:p w:rsidR="00950DA0" w:rsidRPr="00E64D81" w:rsidRDefault="00950DA0" w:rsidP="00950DA0">
      <w:pPr>
        <w:pStyle w:val="BodyText"/>
        <w:rPr>
          <w:sz w:val="24"/>
        </w:rPr>
      </w:pPr>
    </w:p>
    <w:p w:rsidR="00950DA0" w:rsidRPr="00E64D81" w:rsidRDefault="00950DA0" w:rsidP="00950DA0">
      <w:pPr>
        <w:pStyle w:val="BodyText"/>
        <w:rPr>
          <w:b/>
          <w:sz w:val="24"/>
        </w:rPr>
      </w:pPr>
      <w:r w:rsidRPr="00E64D81">
        <w:rPr>
          <w:sz w:val="24"/>
        </w:rPr>
        <w:tab/>
      </w:r>
      <w:r w:rsidRPr="00E64D81">
        <w:rPr>
          <w:sz w:val="24"/>
        </w:rPr>
        <w:tab/>
      </w:r>
      <w:r w:rsidRPr="00E64D81">
        <w:rPr>
          <w:sz w:val="24"/>
        </w:rPr>
        <w:tab/>
      </w:r>
      <w:r w:rsidRPr="00E64D81">
        <w:rPr>
          <w:sz w:val="24"/>
        </w:rPr>
        <w:tab/>
      </w:r>
      <w:r w:rsidRPr="00E64D81">
        <w:rPr>
          <w:sz w:val="24"/>
        </w:rPr>
        <w:tab/>
      </w:r>
      <w:r w:rsidRPr="00E64D81">
        <w:rPr>
          <w:sz w:val="24"/>
        </w:rPr>
        <w:tab/>
      </w:r>
      <w:r w:rsidRPr="00E64D81">
        <w:rPr>
          <w:b/>
          <w:sz w:val="24"/>
        </w:rPr>
        <w:tab/>
      </w:r>
      <w:r w:rsidRPr="00E64D81">
        <w:rPr>
          <w:b/>
          <w:sz w:val="24"/>
        </w:rPr>
        <w:tab/>
      </w:r>
      <w:r w:rsidRPr="00E64D81">
        <w:rPr>
          <w:b/>
          <w:sz w:val="24"/>
        </w:rPr>
        <w:tab/>
        <w:t xml:space="preserve">Zakonski predstavnik:       </w:t>
      </w:r>
    </w:p>
    <w:p w:rsidR="00950DA0" w:rsidRPr="001C5F1A" w:rsidRDefault="00950DA0" w:rsidP="00950DA0">
      <w:pPr>
        <w:pStyle w:val="BodyText"/>
        <w:rPr>
          <w:b/>
          <w:sz w:val="12"/>
          <w:szCs w:val="12"/>
        </w:rPr>
      </w:pP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r w:rsidRPr="001C5F1A">
        <w:rPr>
          <w:b/>
          <w:sz w:val="12"/>
          <w:szCs w:val="12"/>
        </w:rPr>
        <w:tab/>
      </w:r>
    </w:p>
    <w:p w:rsidR="00950DA0" w:rsidRPr="00012B03" w:rsidRDefault="00950DA0" w:rsidP="00950DA0">
      <w:pPr>
        <w:pStyle w:val="BodyText"/>
        <w:rPr>
          <w:b/>
          <w:sz w:val="16"/>
          <w:szCs w:val="16"/>
        </w:rPr>
      </w:pP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t xml:space="preserve">Župan  </w:t>
      </w:r>
      <w:r w:rsidRPr="00E64D81">
        <w:rPr>
          <w:b/>
          <w:sz w:val="24"/>
        </w:rPr>
        <w:tab/>
      </w:r>
      <w:r w:rsidRPr="00E64D81">
        <w:rPr>
          <w:b/>
          <w:sz w:val="24"/>
        </w:rPr>
        <w:tab/>
        <w:t xml:space="preserve">     </w:t>
      </w:r>
      <w:r w:rsidRPr="00E64D81">
        <w:rPr>
          <w:b/>
          <w:sz w:val="24"/>
        </w:rPr>
        <w:tab/>
      </w:r>
      <w:r w:rsidRPr="00E64D81">
        <w:rPr>
          <w:b/>
          <w:sz w:val="24"/>
        </w:rPr>
        <w:tab/>
      </w:r>
      <w:r w:rsidRPr="00E64D81">
        <w:rPr>
          <w:b/>
          <w:sz w:val="24"/>
        </w:rPr>
        <w:tab/>
      </w:r>
      <w:r w:rsidRPr="00E64D81">
        <w:rPr>
          <w:b/>
          <w:sz w:val="24"/>
        </w:rPr>
        <w:tab/>
        <w:t>M. P.</w:t>
      </w:r>
      <w:r w:rsidRPr="00E64D81">
        <w:rPr>
          <w:b/>
          <w:sz w:val="24"/>
        </w:rPr>
        <w:tab/>
      </w:r>
      <w:r w:rsidRPr="00E64D81">
        <w:rPr>
          <w:b/>
          <w:sz w:val="24"/>
        </w:rPr>
        <w:tab/>
      </w:r>
      <w:r w:rsidRPr="00E64D81">
        <w:rPr>
          <w:b/>
          <w:sz w:val="24"/>
        </w:rPr>
        <w:tab/>
        <w:t xml:space="preserve">     </w:t>
      </w:r>
      <w:r w:rsidRPr="00E64D81">
        <w:rPr>
          <w:b/>
          <w:sz w:val="24"/>
        </w:rPr>
        <w:tab/>
      </w:r>
      <w:r w:rsidRPr="00E64D81">
        <w:rPr>
          <w:b/>
          <w:sz w:val="24"/>
        </w:rPr>
        <w:tab/>
      </w:r>
      <w:r w:rsidRPr="00E64D81">
        <w:rPr>
          <w:b/>
          <w:sz w:val="24"/>
        </w:rPr>
        <w:tab/>
      </w:r>
      <w:r w:rsidRPr="00E64D81">
        <w:rPr>
          <w:b/>
          <w:sz w:val="24"/>
        </w:rPr>
        <w:tab/>
      </w:r>
      <w:r w:rsidRPr="00012B03">
        <w:rPr>
          <w:b/>
          <w:sz w:val="16"/>
          <w:szCs w:val="16"/>
        </w:rPr>
        <w:tab/>
      </w:r>
      <w:r w:rsidRPr="00012B03">
        <w:rPr>
          <w:b/>
          <w:sz w:val="16"/>
          <w:szCs w:val="16"/>
        </w:rPr>
        <w:tab/>
        <w:t xml:space="preserve">    </w:t>
      </w:r>
    </w:p>
    <w:p w:rsidR="00950DA0" w:rsidRPr="00E64D81" w:rsidRDefault="00950DA0" w:rsidP="00950DA0">
      <w:pPr>
        <w:pStyle w:val="BodyText"/>
        <w:rPr>
          <w:b/>
          <w:sz w:val="24"/>
        </w:rPr>
      </w:pP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r>
      <w:r w:rsidRPr="00E64D81">
        <w:rPr>
          <w:b/>
          <w:sz w:val="24"/>
        </w:rPr>
        <w:tab/>
        <w:t xml:space="preserve">     _________________________</w:t>
      </w:r>
    </w:p>
    <w:p w:rsidR="00950DA0" w:rsidRPr="00012B03" w:rsidRDefault="00950DA0" w:rsidP="00950DA0">
      <w:pPr>
        <w:spacing w:before="120"/>
        <w:ind w:left="5664"/>
        <w:rPr>
          <w:b/>
          <w:szCs w:val="24"/>
        </w:rPr>
      </w:pPr>
      <w:r w:rsidRPr="00E64D81">
        <w:rPr>
          <w:b/>
          <w:szCs w:val="24"/>
        </w:rPr>
        <w:t xml:space="preserve">        Ivica </w:t>
      </w:r>
      <w:proofErr w:type="spellStart"/>
      <w:r w:rsidRPr="00E64D81">
        <w:rPr>
          <w:b/>
          <w:szCs w:val="24"/>
        </w:rPr>
        <w:t>Lukanović</w:t>
      </w:r>
      <w:proofErr w:type="spellEnd"/>
      <w:r w:rsidRPr="00E64D81">
        <w:rPr>
          <w:b/>
          <w:szCs w:val="24"/>
        </w:rPr>
        <w:t xml:space="preserve">, </w:t>
      </w:r>
      <w:proofErr w:type="spellStart"/>
      <w:r w:rsidRPr="00E64D81">
        <w:rPr>
          <w:b/>
          <w:szCs w:val="24"/>
        </w:rPr>
        <w:t>dipl.ing</w:t>
      </w:r>
      <w:proofErr w:type="spellEnd"/>
      <w:r w:rsidRPr="00E64D81">
        <w:rPr>
          <w:b/>
          <w:szCs w:val="24"/>
        </w:rPr>
        <w:t xml:space="preserve">.                        </w:t>
      </w:r>
    </w:p>
    <w:p w:rsidR="00526B0C" w:rsidRDefault="00526B0C"/>
    <w:sectPr w:rsidR="00526B0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DA0" w:rsidRDefault="00950DA0" w:rsidP="00950DA0">
      <w:pPr>
        <w:spacing w:after="0" w:line="240" w:lineRule="auto"/>
      </w:pPr>
      <w:r>
        <w:separator/>
      </w:r>
    </w:p>
  </w:endnote>
  <w:endnote w:type="continuationSeparator" w:id="0">
    <w:p w:rsidR="00950DA0" w:rsidRDefault="00950DA0" w:rsidP="00950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953890"/>
      <w:docPartObj>
        <w:docPartGallery w:val="Page Numbers (Bottom of Page)"/>
        <w:docPartUnique/>
      </w:docPartObj>
    </w:sdtPr>
    <w:sdtEndPr>
      <w:rPr>
        <w:noProof/>
      </w:rPr>
    </w:sdtEndPr>
    <w:sdtContent>
      <w:p w:rsidR="00950DA0" w:rsidRDefault="00950DA0">
        <w:pPr>
          <w:pStyle w:val="Footer"/>
          <w:jc w:val="center"/>
        </w:pPr>
        <w:r>
          <w:fldChar w:fldCharType="begin"/>
        </w:r>
        <w:r>
          <w:instrText xml:space="preserve"> PAGE   \* MERGEFORMAT </w:instrText>
        </w:r>
        <w:r>
          <w:fldChar w:fldCharType="separate"/>
        </w:r>
        <w:r w:rsidR="00451C21">
          <w:rPr>
            <w:noProof/>
          </w:rPr>
          <w:t>10</w:t>
        </w:r>
        <w:r>
          <w:rPr>
            <w:noProof/>
          </w:rPr>
          <w:fldChar w:fldCharType="end"/>
        </w:r>
      </w:p>
    </w:sdtContent>
  </w:sdt>
  <w:p w:rsidR="00950DA0" w:rsidRDefault="00950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DA0" w:rsidRDefault="00950DA0" w:rsidP="00950DA0">
      <w:pPr>
        <w:spacing w:after="0" w:line="240" w:lineRule="auto"/>
      </w:pPr>
      <w:r>
        <w:separator/>
      </w:r>
    </w:p>
  </w:footnote>
  <w:footnote w:type="continuationSeparator" w:id="0">
    <w:p w:rsidR="00950DA0" w:rsidRDefault="00950DA0" w:rsidP="00950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783058"/>
      <w:docPartObj>
        <w:docPartGallery w:val="Page Numbers (Top of Page)"/>
        <w:docPartUnique/>
      </w:docPartObj>
    </w:sdtPr>
    <w:sdtEndPr>
      <w:rPr>
        <w:noProof/>
      </w:rPr>
    </w:sdtEndPr>
    <w:sdtContent>
      <w:p w:rsidR="00950DA0" w:rsidRDefault="00451C21">
        <w:pPr>
          <w:pStyle w:val="Header"/>
          <w:jc w:val="center"/>
        </w:pPr>
      </w:p>
    </w:sdtContent>
  </w:sdt>
  <w:p w:rsidR="00950DA0" w:rsidRDefault="00950D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B0C"/>
    <w:rsid w:val="00451C21"/>
    <w:rsid w:val="00526B0C"/>
    <w:rsid w:val="00866C9D"/>
    <w:rsid w:val="00950D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D7071"/>
  <w15:docId w15:val="{05796039-D83A-4C0E-964E-830E576D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50D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0DA0"/>
  </w:style>
  <w:style w:type="paragraph" w:styleId="Footer">
    <w:name w:val="footer"/>
    <w:basedOn w:val="Normal"/>
    <w:link w:val="FooterChar"/>
    <w:uiPriority w:val="99"/>
    <w:unhideWhenUsed/>
    <w:rsid w:val="00950D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0DA0"/>
  </w:style>
  <w:style w:type="paragraph" w:styleId="BodyText">
    <w:name w:val="Body Text"/>
    <w:aliases w:val="uvlaka 2,uvlaka 3,  uvlaka 2, uvlaka 3"/>
    <w:basedOn w:val="Normal"/>
    <w:link w:val="BodyTextChar"/>
    <w:rsid w:val="00950DA0"/>
    <w:pPr>
      <w:spacing w:after="0" w:line="240" w:lineRule="auto"/>
    </w:pPr>
    <w:rPr>
      <w:sz w:val="28"/>
      <w:szCs w:val="24"/>
    </w:rPr>
  </w:style>
  <w:style w:type="character" w:customStyle="1" w:styleId="BodyTextChar">
    <w:name w:val="Body Text Char"/>
    <w:aliases w:val="uvlaka 2 Char,uvlaka 3 Char,  uvlaka 2 Char, uvlaka 3 Char"/>
    <w:basedOn w:val="DefaultParagraphFont"/>
    <w:link w:val="BodyText"/>
    <w:rsid w:val="00950DA0"/>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3736</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PGŽ</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Hadžić</dc:creator>
  <cp:lastModifiedBy>Jasmina Hadžić</cp:lastModifiedBy>
  <cp:revision>4</cp:revision>
  <dcterms:created xsi:type="dcterms:W3CDTF">2026-07-24T14:25:00Z</dcterms:created>
  <dcterms:modified xsi:type="dcterms:W3CDTF">2026-07-24T15:07:00Z</dcterms:modified>
</cp:coreProperties>
</file>