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82075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20757" w:rsidRDefault="007576C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820757" w:rsidRDefault="007576C0">
            <w:pPr>
              <w:spacing w:after="0" w:line="240" w:lineRule="auto"/>
            </w:pPr>
            <w:r>
              <w:t>29429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20757" w:rsidRDefault="007576C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820757" w:rsidRDefault="007576C0">
            <w:pPr>
              <w:spacing w:after="0" w:line="240" w:lineRule="auto"/>
            </w:pPr>
            <w:r>
              <w:t>PRIMORSKO-GORANSKA ŽUPANIJA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20757" w:rsidRDefault="007576C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820757" w:rsidRDefault="007576C0">
            <w:pPr>
              <w:spacing w:after="0" w:line="240" w:lineRule="auto"/>
            </w:pPr>
            <w:r>
              <w:t>23</w:t>
            </w:r>
          </w:p>
        </w:tc>
      </w:tr>
    </w:tbl>
    <w:p w:rsidR="00820757" w:rsidRDefault="007576C0">
      <w:r>
        <w:br/>
      </w:r>
    </w:p>
    <w:p w:rsidR="00820757" w:rsidRDefault="007576C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820757" w:rsidRDefault="007576C0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820757" w:rsidRDefault="007576C0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132.920.028,26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149.198.121,79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112,2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118.968.405,55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144.142.321,60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121,2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82075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13.949.784,28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5.054.664,92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36,2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314.462,28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69.660,87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22,2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</w:t>
            </w:r>
            <w:r>
              <w:rPr>
                <w:sz w:val="18"/>
              </w:rPr>
              <w:t xml:space="preserve">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1.782.022,40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8.414.644,25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472,2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82075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1.467.560,12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8.344.983,38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568,6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2.310,90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1.886.748,94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</w:t>
            </w:r>
            <w:r>
              <w:rPr>
                <w:sz w:val="18"/>
              </w:rPr>
              <w:t>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3.065.268,12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2.288.020,12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74,6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82075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3.062.957,22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401.271,18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13,1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82075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3.691.589,64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Prihodi poslovanja u razdoblju od 01. siječnja do 30. lipnja 2025. godine iznose 149.198.121,79 eura, što je za 12,2% više u odnosu na isto razdoblje prethodne godine kada su iznosili 132.920.028,26 eura. Rashodi poslovanja u izvještajnom </w:t>
      </w:r>
      <w:r>
        <w:t>razdoblju ostvareni su, s druge strane, s rastom od 21,2% odnosno u iznosu od 144.142.321,60 eura, dok su u istom razdoblju prethodne godine iznosili 118.968.405,55 eura. Navedeno je rezultiralo smanjenjem viška prihoda poslovanja za 63,8% u odnosu na pret</w:t>
      </w:r>
      <w:r>
        <w:t xml:space="preserve">hodno izvještajno razdoblje (šifra X001).   Prihodi od prodaje nefinancijske imovine u izvještajnom razdoblju tekuće godine iznose </w:t>
      </w:r>
      <w:r>
        <w:lastRenderedPageBreak/>
        <w:t>69.660,87 eura, a u istom razdoblju prethodne godine ostvareni su u iznosu 314.462,28 eura, što predstavlja smanjenje od 77,8</w:t>
      </w:r>
      <w:r>
        <w:t>%. Dok su rashodi za nabavu nefinancijske imovine u 2025. godini ostvareni u iznosu od 8.414.644,25 eura, što je za 372,2% više u odnosu na izvještajno razdoblje prethodne godine kada su iznosili 1.782.022,40 eura. Slijedom navedenog, manjak prihoda od nef</w:t>
      </w:r>
      <w:r>
        <w:t>inancijske imovine tekuće godine veći je za 468,6% u odnosu na ostvarenje u istom razdoblju prethodne godine (šifra Y002).  Primici od financijske imovine i zaduživanja u izvještajnom razdoblju 2025. godine iznose 1.886.748,94 eura, a u istom razdoblju pre</w:t>
      </w:r>
      <w:r>
        <w:t xml:space="preserve">thodne godine ostvareni su u iznosu 2.310,90 eura. S druge strane, izdaci za financijsku imovinu i otplate zajmova u izvještajnom razdoblju tekuće godine iznose 2.288.020,12 eura i manji su za 25,4% u odnosu na izdatke ostvarene prethodne godine, stoga je </w:t>
      </w:r>
      <w:r>
        <w:t>u izvještajnom razdoblju tekuće godine za 86,9% smanjen ostvareni manjak primitaka od financijske imovine i zaduživanja te iznosi 401.271,18 eura (šifra Y003). Sve navedeno je rezultiralo smanjenjem rezultata poslovanja u izvještajnom razdoblju tekuće godi</w:t>
      </w:r>
      <w:r>
        <w:t>ne u odnosu na prethodnu godinu, sa viška prihoda i primitaka u iznosu od 9.419.266,94 eura (šifra X005) u prethodnom izvještajnom razdoblju na manjak prihoda i primitaka u iznosu od 3.691.589,64 eura (šifra Y005).</w:t>
      </w:r>
    </w:p>
    <w:p w:rsidR="00820757" w:rsidRDefault="007576C0">
      <w:r>
        <w:br/>
      </w:r>
    </w:p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</w:t>
            </w:r>
            <w:r>
              <w:rPr>
                <w:b/>
                <w:sz w:val="18"/>
              </w:rPr>
              <w:t>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27.000.013,48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31.917.779,64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118,2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Porez na dohodak je prihod </w:t>
      </w:r>
      <w:r>
        <w:t>Primorsko-goranske županije, a povećanje naplate poreza na dohodak u prvoj polovici 2025. godine nastavak je trenda iz prethodne četiri godine, što je posljedica gospodarskog rasta i povećanja zaposlenosti, odnosno inflatornih pritisaka na rast plaća.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</w:t>
      </w:r>
      <w:r>
        <w:rPr>
          <w:sz w:val="28"/>
        </w:rPr>
        <w:t>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2.347.767,30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3.505.684,16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149,3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Navedeno je prihod Primorsko-goranske županije, a najveće odstupanje je kod prihoda iz Državnog proračuna- Ministarstvo mora, prometa i infrastrukture ostvarenih za financiranje besplatnog, javnog otočnog cestovnog </w:t>
      </w:r>
      <w:r>
        <w:t>prijevoza putnika na području Županije odnosno otoka Krk, Cres, Lošinj i Rab, temeljem Pravilnika o načinu ostvarivanja prava na besplatan javni otočni cestovni prijevoz („Narodne novine“ broj 68/24), na ime kojih je Županiji u 2025. godini doznačeno 1.197</w:t>
      </w:r>
      <w:r>
        <w:t>.666,85 eura, dok isti u prvoj polovici 2024. godine nije ostvaren (veza: šifra 3722).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lastRenderedPageBreak/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44.717.989,38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50.482.082,45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112,9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>Najveće povećanje je kod proračunskih korisnika – osnovne škole (2024. godina 21.926.481,50 eura – 2025. godina 24.581.401,16 eura) i srednje</w:t>
      </w:r>
      <w:r>
        <w:t xml:space="preserve"> škole (2024. godina 19.906.449,65 eura – 2025. godina 21.889.445,20 eura), koje su ostvarile značajno veće prihode iz Državnog proračuna za financiranje plaća za zaposlene kao rezultat povećanja osnovice i koeficijenata za obračun plaće zaposlenih u javni</w:t>
      </w:r>
      <w:r>
        <w:t>m službama.  Također, značajno povećanje je i kod proračunskih korisnika - zdravstvene ustanove (2024. godina 623.151,49 eura – 2025. godina 1.599.967,47 eura), a najvećim djelom se odnosi na ustanovu Nastavni zavod za javno zdravstvo PGŽ (2024. godina 34.</w:t>
      </w:r>
      <w:r>
        <w:t>328,89 eura – 2025. godina 986.513,01 eura), i rezultat je promjene u metodologiji knjiženja od 2025. godine temeljem Upute za provođenje knjigovodstvenih evidencija nabave i distribucije cjepiva, propisane od strane Hrvatskog zavoda za javno zdravstvo, Hr</w:t>
      </w:r>
      <w:r>
        <w:t>vatskog zavoda za zdravstveno osiguranje i županijskih zavoda za javno zdravstvo, sukladno kojoj se za zaprimljena cjepiva na zalihe priznaje prihod za primljenu pomoć iz državnog proračuna.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</w:t>
            </w:r>
            <w:r>
              <w:rPr>
                <w:b/>
                <w:sz w:val="18"/>
              </w:rPr>
              <w:t>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HZZO-a na temelju ugovornih obveza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30.890.054,97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38.997.766,87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126,2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Radi se o prihodu proračunskih korisnika – zdravstvenih ustanova, </w:t>
      </w:r>
      <w:r>
        <w:t>koje bilježe povećanje predmetnih prihoda od HZZO-a u odnosu na prethodno izvještajno razdoblje radi povećanja ugovorenih mjesečnih limita tijekom 2025. godine.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</w:t>
            </w:r>
            <w:r>
              <w:rPr>
                <w:b/>
                <w:sz w:val="18"/>
              </w:rPr>
              <w:t xml:space="preserve">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lijekova i potrošnog medicinskog materijala kod zdravstvenih ustanova (šifre 3251 do 3254)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3.262.313,35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Navedeno je rashod proračunskih korisnika – zdravstvene </w:t>
      </w:r>
      <w:r>
        <w:t>ustanove, a rezultat je primjene novog Pravilnika o proračunskom računovodstvu i Računskom planu („Narodne novine“, broj 158/23 i 154/24) u 2025. godini temeljem kojega se rashodi za lijekove i potrošni medicinski materijal evidentiraju na novoj podskupini</w:t>
      </w:r>
      <w:r>
        <w:t xml:space="preserve"> 325, a u 2024. godini isti su se evidentirali na podskupini 322.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lastRenderedPageBreak/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Kapitalne pomoći </w:t>
            </w:r>
            <w:r>
              <w:rPr>
                <w:sz w:val="18"/>
              </w:rPr>
              <w:t>drugom proračunu i izvanproračunskim korisnicima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336.771,80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1.093.238,45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324,6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Radi se o rashodu Primorsko-goranske županije, a do navedenog povećanja najvećim je djelom došlo kao rezultat povećanja rashoda za programe: Zaštita zdravlja i </w:t>
      </w:r>
      <w:r>
        <w:t>poboljšanje zdravstvenog sustava (u 2024. godini 0,00 eura, a u 2025. godini 245.267,33 eura) i Ostali programi socijalne skrbi (u 2024. godini 0,00 eura, a u 2025. godini 464.883,04 eura).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</w:t>
            </w:r>
            <w:r>
              <w:rPr>
                <w:b/>
                <w:sz w:val="18"/>
              </w:rPr>
              <w:t>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734.496,74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1.480.633,24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201,6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Navedeno je, najvećim djelom, rezultat rashoda Primorsko-goranske županije </w:t>
      </w:r>
      <w:r>
        <w:t>za financiranje besplatnog, javnog otočnog cestovnog prijevoza putnika na području Županije, odnosno otoka Krk, Cres, Lošinj i Rab, a koje županije podmiruju temeljem Pravilnika o načinu ostvarivanja prava na besplatan javni otočni cestovni prijevoz („Naro</w:t>
      </w:r>
      <w:r>
        <w:t>dne novine“ broj 68/24) iz namjenskog prihoda doznačenog iz Državnog proračuna-Ministarstvo mora, prometa i infrastrukture (veza: šifra 6331). U 2025. godini rashodi za tu namjenu iznose 899.540,96 eura, dok u prvoj polovici 2024. godine isti nisu ostvaren</w:t>
      </w:r>
      <w:r>
        <w:t>i.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2.073.226,72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2.712.207,83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130,8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>Predmetno odstupanje,</w:t>
      </w:r>
      <w:r>
        <w:t xml:space="preserve"> najvećim djelom, rezultat je promjena u računovodstvenom evidentiranju rashoda i obveza za donacije u 2025. godini. Naime, novim Pravilnikom o proračunskom računovodstvu i Računskom planu („Narodne novine“, broj 158/23 i 154/24) koji se primjenjuje u raču</w:t>
      </w:r>
      <w:r>
        <w:t>novodstvenim evidencijama od 01. siječnja 2025. godine, utvrđeno je da se rashodi i obveze za tekuće donacije priznaju i iskazuju prema načelu nastanka događaja odnosno u trenutku donošenja odluke nadležnog tijela o dodjeli donacije, dok su se isti u preth</w:t>
      </w:r>
      <w:r>
        <w:t>odnom izvještajnom razdoblju evidentirali po novčanom načelu odnosno u trenutku plaćanja.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293.002,00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Navedeno je prihod proračunskog korisnika Osnovna škola Ivana Gorana Kovačića Vrbovsko koja je u 2024. godini ostvarila prihod od prodaje nekretnina u vlasništvu škole (PŠ </w:t>
      </w:r>
      <w:proofErr w:type="spellStart"/>
      <w:r>
        <w:t>Ljubošina</w:t>
      </w:r>
      <w:proofErr w:type="spellEnd"/>
      <w:r>
        <w:t xml:space="preserve"> i PŠ </w:t>
      </w:r>
      <w:proofErr w:type="spellStart"/>
      <w:r>
        <w:t>Dokmanovići</w:t>
      </w:r>
      <w:proofErr w:type="spellEnd"/>
      <w:r>
        <w:t>) koje dugi</w:t>
      </w:r>
      <w:r>
        <w:t xml:space="preserve"> niz godina nisu bile u funkciji nastave.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418.674,01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Radi se o rashodu Primorsko-goranske županije, i najvećim djelom se odnosi na povećanje rashoda ostvarenih u okviru projekta Zdravstveni centar </w:t>
      </w:r>
      <w:proofErr w:type="spellStart"/>
      <w:r>
        <w:t>Rujevica</w:t>
      </w:r>
      <w:proofErr w:type="spellEnd"/>
      <w:r>
        <w:t xml:space="preserve"> – Zapad, a koji su u 2025. godini iznosili 394.782,01 eura dok u 2024. godini nisu ostvareni.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</w:t>
      </w:r>
      <w:r>
        <w:rPr>
          <w:sz w:val="28"/>
        </w:rPr>
        <w:t xml:space="preserve">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107.729,93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1.421.969,81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1319,9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Predmetno </w:t>
      </w:r>
      <w:r>
        <w:t>odstupanje, rezultat je povećanja rashoda kod proračunskih korisnika – zdravstvene ustanove (2024. godina 0,00 eura – 2025. godina 1.309.449,48 eura), a najvećim dijelom odnosi se na rashode Zavoda za hitnu medicinu PGŽ (2024. godina 0,00 eura – 2025. godi</w:t>
      </w:r>
      <w:r>
        <w:t>na 1.187.475,00 eura) za nabavu 13 novih vozila za potrebe hitne medicine i saniteta.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310.771,91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4.724.454,16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1520,2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>Navedeno odstupanje, najvećim dijelom, rezultat je povećanja rashoda kod proračunskih korisnika – zdravstvene ustanove (2024. godina 216.256,63 eura – 2025. godina 2.775.492,58</w:t>
      </w:r>
      <w:r>
        <w:t xml:space="preserve"> eura), i to Lječilišta Veli Lošinj (2024. godina 0,00 eura – 2025. godina 1.414.333,41 eura) za radove rekonstrukcije objekta Park IV, Županijske specijalne bolnice INSULA (2024. godina </w:t>
      </w:r>
      <w:r>
        <w:lastRenderedPageBreak/>
        <w:t xml:space="preserve">59.735,07 eura – 2025. godina 548.155,93 eura) za adaptaciju sustava </w:t>
      </w:r>
      <w:r>
        <w:t xml:space="preserve">odvodnje, sanaciju zgrada i adaptaciju bolničke </w:t>
      </w:r>
      <w:proofErr w:type="spellStart"/>
      <w:r>
        <w:t>praone</w:t>
      </w:r>
      <w:proofErr w:type="spellEnd"/>
      <w:r>
        <w:t xml:space="preserve">, te </w:t>
      </w:r>
      <w:proofErr w:type="spellStart"/>
      <w:r>
        <w:t>Thalassotherapie</w:t>
      </w:r>
      <w:proofErr w:type="spellEnd"/>
      <w:r>
        <w:t xml:space="preserve"> Crikvenica (2024. godina 156.521,56 eura – 2025. godina 498.636,08 eura) za modernizaciju smještajnih kapaciteta.  Također, značajno su povećani predmetni rashodi kod proračunskih </w:t>
      </w:r>
      <w:r>
        <w:t>korisnika - domovi za starije osobe (2024. godina 9.691,70 eura – 2025. godina 1.474.498,71 eura), a najvećim dijelom odnose se na rashode Doma za starije osobe Mali Kartec Krk (2024. godina 0,00 eura – 2025. godina 729.002,30 eura) za energetsku obnovu Do</w:t>
      </w:r>
      <w:r>
        <w:t>ma, te rashode Doma za starije osobe Kantrida Rijeka (2024. godina 9.691,70 eura – 2025. godina 745.496,41 eura) za rekonstrukciju zgrade za dislociranu jedinicu u Delnicama.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</w:t>
            </w:r>
            <w:r>
              <w:rPr>
                <w:b/>
                <w:sz w:val="18"/>
              </w:rPr>
              <w:t>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Primljeni krediti od kreditnih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312.995,61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Radi se o primitku Primorsko-goranske županije za realizaciju kapitalnog projekta </w:t>
      </w:r>
      <w:r>
        <w:t xml:space="preserve">Zdravstveni centar </w:t>
      </w:r>
      <w:proofErr w:type="spellStart"/>
      <w:r>
        <w:t>Rujevica</w:t>
      </w:r>
      <w:proofErr w:type="spellEnd"/>
      <w:r>
        <w:t xml:space="preserve"> – Zapad, za koji je Županija 2024. godine sklopila Ugovor o dugoročnom kreditu sa Hrvatskom bankom za obnovu i razvitak (HABOR). U izvještajnom razdoblju 2025. godine započelo je korištenje sredstava kredita te ukupno korištena </w:t>
      </w:r>
      <w:r>
        <w:t>sredstva kredita iznose 312.995,61 eura, dok je predmetni primitak u 2024. godini izostao.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Primljeni krediti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1.573.753,33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Navedeno je primitak proračunskog korisnika – Doma za starije osobe Mali Kartec Krk, koji u 2025. godini temeljem sklopljenog ugovora sa poslovnom </w:t>
      </w:r>
      <w:r>
        <w:t>bankom koristi kratkoročni kredit, odnosno odobreni minus po žiro-računu (veza: šifra 5443).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3.015.839,38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2.238.591,38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74,2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Navedeno odstupanje rezultat je smanjenja predmetnih izdataka kod proračunskih korisnika – srednje škole (2024. godina </w:t>
      </w:r>
      <w:r>
        <w:t xml:space="preserve">2.740.483,79 eura – 2025. godina 0,00 eura). Naime, u 2023. godini Ugostiteljska škola Opatija se dugoročno zadužila za </w:t>
      </w:r>
      <w:proofErr w:type="spellStart"/>
      <w:r>
        <w:t>predfinanciranje</w:t>
      </w:r>
      <w:proofErr w:type="spellEnd"/>
      <w:r>
        <w:t xml:space="preserve"> EU projekta MREŽA KOM5ENTNOSTI, te je u 2024. godini izvršen ukupan prijevremeni povrat kredita u iznosu od 1.092.353,5</w:t>
      </w:r>
      <w:r>
        <w:t xml:space="preserve">0 eura. Isto tako, u 2023. godini kratkoročno su se zadužili Ugostiteljska škola Opatija (417.797,60 eura), Medicinska škola u Rijeci (430.332,69 eura) i Elektroindustrijska i obrtnička škola (800.000,00 eura), za </w:t>
      </w:r>
      <w:proofErr w:type="spellStart"/>
      <w:r>
        <w:t>predfinanciranje</w:t>
      </w:r>
      <w:proofErr w:type="spellEnd"/>
      <w:r>
        <w:t xml:space="preserve"> EU projekata razvoja Regi</w:t>
      </w:r>
      <w:r>
        <w:t>onalnih centara kompetentnosti, te je u izvještajnom razdoblju 2024. godine izvršen ukupan povrat navedenih kredita. S druge strane, značajno je povećanje izdataka proračunskog korisnika – Doma za starije osobe Mali Kartec Krk, koji u 2025. godini temeljem</w:t>
      </w:r>
      <w:r>
        <w:t xml:space="preserve"> sklopljenog ugovora sa poslovnom bankom koristi kratkoročni kredit, odnosno odobreni minus po žiro-računu (veza: šifra 8443).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20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207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82075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</w:t>
            </w:r>
            <w:r>
              <w:rPr>
                <w:sz w:val="18"/>
              </w:rPr>
              <w:t>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2.281.502,42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20757" w:rsidRDefault="007576C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20757" w:rsidRDefault="00820757">
      <w:pPr>
        <w:spacing w:after="0"/>
      </w:pPr>
    </w:p>
    <w:p w:rsidR="00820757" w:rsidRDefault="007576C0">
      <w:pPr>
        <w:spacing w:line="240" w:lineRule="auto"/>
        <w:jc w:val="both"/>
      </w:pPr>
      <w:r>
        <w:t xml:space="preserve">Stanje dospjelih obveza na kraju izvještajnog razdoblja iznosi 2.281.502,42 eura, a najvećim djelom odnose se na proračunske korisnike – zdravstvene ustanove čije </w:t>
      </w:r>
      <w:r>
        <w:t>dospjele obveze iznose ukupno 1.817.522,91 eura. Kao razlog stanja dospjelih obveza na kraju izvještajnog razdoblja i prekoračenja rokova plaćanja istih proračunski korisnici – zdravstvene ustanove u svojim Bilješkama uz financijske izvještaje navode nedos</w:t>
      </w:r>
      <w:r>
        <w:t>tatni priljev sredstava odnosno da se obveze podmiruju prema redoslijedu dospijeća sukladno financijskim mogućnostima ustanove.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18.</w:t>
      </w:r>
    </w:p>
    <w:p w:rsidR="00820757" w:rsidRDefault="007576C0">
      <w:pPr>
        <w:spacing w:line="240" w:lineRule="auto"/>
        <w:jc w:val="both"/>
      </w:pPr>
      <w:proofErr w:type="spellStart"/>
      <w:r>
        <w:rPr>
          <w:b/>
        </w:rPr>
        <w:t>Unutargrupne</w:t>
      </w:r>
      <w:proofErr w:type="spellEnd"/>
      <w:r>
        <w:rPr>
          <w:b/>
        </w:rPr>
        <w:t xml:space="preserve"> transakcije koje su u izvještajima eliminirane</w:t>
      </w:r>
    </w:p>
    <w:p w:rsidR="00820757" w:rsidRDefault="007576C0">
      <w:pPr>
        <w:spacing w:line="240" w:lineRule="auto"/>
        <w:jc w:val="both"/>
      </w:pPr>
      <w:r>
        <w:t>U konsolidiranom Izvještaju o prihodima i rashodima, p</w:t>
      </w:r>
      <w:r>
        <w:t xml:space="preserve">rimicima i izdacima (PR-RAS) eliminirane su slijedeće </w:t>
      </w:r>
      <w:proofErr w:type="spellStart"/>
      <w:r>
        <w:t>unutargrupne</w:t>
      </w:r>
      <w:proofErr w:type="spellEnd"/>
      <w:r>
        <w:t xml:space="preserve"> transakcije: 1. Eliminacija prijenosa između Proračuna i proračunskih korisnika Županije za financiranje redovne djelatnosti u ukupnom iznosu od 19.024.956,79 eura, izvršena je na računima </w:t>
      </w:r>
      <w:r>
        <w:t>podskupine 367 i 671. 2. Eliminacija prijenosa između Proračuna i proračunskih korisnika – vijeća nacionalnih manjina PGŽ za financiranje redovne djelatnosti u ukupnom iznosu od 22.937,25 eura, izvršena je na računima podskupine 671 (šifra 671 u izvještaji</w:t>
      </w:r>
      <w:r>
        <w:t xml:space="preserve">ma vijeća nacionalnih manjina –razina 21) te računima klase 3 i 4 na kojima su predmetni rashodi iskazani u izvještaju Županije (razina 22).  U konsolidiranom Izvještaju o obvezama (OBVEZE) eliminirane su </w:t>
      </w:r>
      <w:proofErr w:type="spellStart"/>
      <w:r>
        <w:t>unutargrupne</w:t>
      </w:r>
      <w:proofErr w:type="spellEnd"/>
      <w:r>
        <w:t xml:space="preserve"> transakcije za međusobne obveze Prorač</w:t>
      </w:r>
      <w:r>
        <w:t>una i proračunskih korisnika Županije u ukupnom iznosu od 841.723,65 eura, a koje se odnose na obveze proračunskih korisnika za povrat u Proračun više doznačenih sredstava u iznosu od ukupno 4.136,34 eura, te obveze Proračuna za naplaćena sredstva proračun</w:t>
      </w:r>
      <w:r>
        <w:t>skih korisnika u iznosu od ukupno 837.587,31 eura.</w:t>
      </w:r>
    </w:p>
    <w:p w:rsidR="00820757" w:rsidRDefault="00820757"/>
    <w:p w:rsidR="00820757" w:rsidRDefault="007576C0">
      <w:pPr>
        <w:keepNext/>
        <w:spacing w:line="240" w:lineRule="auto"/>
        <w:jc w:val="center"/>
      </w:pPr>
      <w:r>
        <w:rPr>
          <w:sz w:val="28"/>
        </w:rPr>
        <w:t>Bilješka 19.</w:t>
      </w:r>
    </w:p>
    <w:p w:rsidR="00820757" w:rsidRDefault="007576C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:rsidR="00820757" w:rsidRDefault="007576C0">
      <w:pPr>
        <w:spacing w:line="240" w:lineRule="auto"/>
        <w:jc w:val="both"/>
      </w:pPr>
      <w:r>
        <w:t>U razdoblju od 01. siječnja do 30. lipnja 2025. godine ostvaren je višak prihoda i primitaka r</w:t>
      </w:r>
      <w:r>
        <w:t>aspoloživ u sljedećem razdoblju (šifra X006) u iznosu od 24.675.822,08 eura, što je za 6,6% više u odnosu na rezultat ostvaren u prethodnom izvještajnom razdoblju.  Navedeni konsolidirani rezultat Županije i njenih proračunskih korisnika prema strukturi sa</w:t>
      </w:r>
      <w:r>
        <w:t>stoji se od ostvarenog viška kod Primorsko-goranske županije (27.010.171,92 eura), zdravstvenih ustanova (1.234.648,11 eura), Centra za rehabilitaciju “Fortica“ Kraljevica (1.697.991,49 eura), Javne ustanove Priroda (85.167,67 eura), Centra za poljoprivred</w:t>
      </w:r>
      <w:r>
        <w:t>u i ruralni razvoj Stara Sušica (26.833,85 eura), Regionalne razvojne agencije PGŽ (210.733,13 eura), Regionalne energetske agencije Kvarner (59.058,78 eura) i vijeća nacionalnih manjina PGŽ (10.226,52 eura), te ostvarenog manjka kod osnovnih škola (2.800.</w:t>
      </w:r>
      <w:r>
        <w:t>978,37 eura), srednjih škola (2.187.069,02 eura), učeničkih domova (72.923,53 eura), ustanova kulture (40.954,74 eura), domova za starije osobe (493.291,72 eura) i Javne ustanove Zavod za prostorno uređenje PGŽ (63.792,01 eura).</w:t>
      </w:r>
    </w:p>
    <w:p w:rsidR="00820757" w:rsidRDefault="00820757"/>
    <w:p w:rsidR="007576C0" w:rsidRPr="00F24B29" w:rsidRDefault="007576C0" w:rsidP="007576C0">
      <w:pPr>
        <w:pStyle w:val="BodyText"/>
        <w:rPr>
          <w:rFonts w:ascii="Arial" w:hAnsi="Arial"/>
          <w:sz w:val="22"/>
          <w:szCs w:val="22"/>
        </w:rPr>
      </w:pPr>
      <w:r w:rsidRPr="00F24B29">
        <w:rPr>
          <w:rFonts w:ascii="Arial" w:hAnsi="Arial"/>
          <w:sz w:val="22"/>
          <w:szCs w:val="22"/>
        </w:rPr>
        <w:t xml:space="preserve">Mjesto i datum:  Rijeka, </w:t>
      </w:r>
      <w:r>
        <w:rPr>
          <w:rFonts w:ascii="Arial" w:hAnsi="Arial"/>
          <w:sz w:val="22"/>
          <w:szCs w:val="22"/>
        </w:rPr>
        <w:t>18</w:t>
      </w:r>
      <w:r w:rsidRPr="00F24B29">
        <w:rPr>
          <w:rFonts w:ascii="Arial" w:hAnsi="Arial"/>
          <w:sz w:val="22"/>
          <w:szCs w:val="22"/>
        </w:rPr>
        <w:t>. srpnja 202</w:t>
      </w:r>
      <w:r>
        <w:rPr>
          <w:rFonts w:ascii="Arial" w:hAnsi="Arial"/>
          <w:sz w:val="22"/>
          <w:szCs w:val="22"/>
        </w:rPr>
        <w:t>5</w:t>
      </w:r>
      <w:r w:rsidRPr="00F24B29">
        <w:rPr>
          <w:rFonts w:ascii="Arial" w:hAnsi="Arial"/>
          <w:sz w:val="22"/>
          <w:szCs w:val="22"/>
        </w:rPr>
        <w:t>. godine.</w:t>
      </w:r>
    </w:p>
    <w:p w:rsidR="007576C0" w:rsidRPr="00224AF8" w:rsidRDefault="007576C0" w:rsidP="007576C0">
      <w:pPr>
        <w:pStyle w:val="BodyText"/>
        <w:rPr>
          <w:rFonts w:ascii="Arial" w:hAnsi="Arial"/>
          <w:color w:val="FF0000"/>
          <w:sz w:val="22"/>
          <w:szCs w:val="22"/>
        </w:rPr>
      </w:pPr>
    </w:p>
    <w:p w:rsidR="007576C0" w:rsidRPr="00224AF8" w:rsidRDefault="007576C0" w:rsidP="007576C0">
      <w:pPr>
        <w:pStyle w:val="BodyText"/>
        <w:rPr>
          <w:rFonts w:ascii="Arial" w:hAnsi="Arial"/>
          <w:color w:val="FF0000"/>
          <w:sz w:val="22"/>
          <w:szCs w:val="22"/>
        </w:rPr>
      </w:pPr>
    </w:p>
    <w:p w:rsidR="007576C0" w:rsidRPr="00417E19" w:rsidRDefault="007576C0" w:rsidP="007576C0">
      <w:pPr>
        <w:pStyle w:val="BodyText"/>
        <w:rPr>
          <w:rFonts w:ascii="Arial" w:hAnsi="Arial"/>
          <w:sz w:val="22"/>
          <w:szCs w:val="22"/>
        </w:rPr>
      </w:pPr>
    </w:p>
    <w:p w:rsidR="007576C0" w:rsidRPr="00417E19" w:rsidRDefault="007576C0" w:rsidP="007576C0">
      <w:pPr>
        <w:pStyle w:val="BodyText"/>
        <w:rPr>
          <w:rFonts w:ascii="Arial" w:hAnsi="Arial"/>
          <w:sz w:val="22"/>
          <w:szCs w:val="22"/>
        </w:rPr>
      </w:pPr>
    </w:p>
    <w:p w:rsidR="007576C0" w:rsidRPr="00417E19" w:rsidRDefault="007576C0" w:rsidP="007576C0">
      <w:pPr>
        <w:pStyle w:val="BodyText"/>
        <w:ind w:firstLine="708"/>
        <w:rPr>
          <w:rFonts w:ascii="Arial" w:hAnsi="Arial"/>
          <w:sz w:val="22"/>
          <w:szCs w:val="22"/>
        </w:rPr>
      </w:pPr>
      <w:r w:rsidRPr="00417E19">
        <w:rPr>
          <w:rFonts w:ascii="Arial" w:hAnsi="Arial"/>
          <w:sz w:val="22"/>
          <w:szCs w:val="22"/>
        </w:rPr>
        <w:t>Bilješke sastavila:</w:t>
      </w:r>
    </w:p>
    <w:p w:rsidR="007576C0" w:rsidRPr="00417E19" w:rsidRDefault="007576C0" w:rsidP="007576C0">
      <w:pPr>
        <w:pStyle w:val="BodyText"/>
        <w:rPr>
          <w:rFonts w:ascii="Arial" w:hAnsi="Arial"/>
          <w:sz w:val="18"/>
          <w:szCs w:val="18"/>
        </w:rPr>
      </w:pPr>
    </w:p>
    <w:p w:rsidR="007576C0" w:rsidRPr="00417E19" w:rsidRDefault="007576C0" w:rsidP="007576C0">
      <w:pPr>
        <w:pStyle w:val="BodyText"/>
        <w:rPr>
          <w:rFonts w:ascii="Arial" w:hAnsi="Arial"/>
          <w:sz w:val="12"/>
          <w:szCs w:val="12"/>
        </w:rPr>
      </w:pPr>
    </w:p>
    <w:p w:rsidR="007576C0" w:rsidRPr="00417E19" w:rsidRDefault="007576C0" w:rsidP="007576C0">
      <w:pPr>
        <w:pStyle w:val="BodyText"/>
        <w:rPr>
          <w:rFonts w:ascii="Arial" w:hAnsi="Arial"/>
          <w:sz w:val="22"/>
        </w:rPr>
      </w:pPr>
      <w:r w:rsidRPr="00417E19">
        <w:rPr>
          <w:rFonts w:ascii="Arial" w:hAnsi="Arial"/>
          <w:sz w:val="22"/>
        </w:rPr>
        <w:t xml:space="preserve"> _________________________</w:t>
      </w:r>
    </w:p>
    <w:p w:rsidR="007576C0" w:rsidRPr="00417E19" w:rsidRDefault="007576C0" w:rsidP="007576C0">
      <w:pPr>
        <w:spacing w:before="120"/>
        <w:rPr>
          <w:rFonts w:ascii="Arial" w:hAnsi="Arial"/>
          <w:sz w:val="22"/>
        </w:rPr>
      </w:pPr>
      <w:r w:rsidRPr="00417E19">
        <w:rPr>
          <w:rFonts w:ascii="Arial" w:hAnsi="Arial"/>
          <w:sz w:val="22"/>
        </w:rPr>
        <w:t xml:space="preserve">      Jasmina Hadžić, </w:t>
      </w:r>
      <w:proofErr w:type="spellStart"/>
      <w:r w:rsidRPr="00417E19">
        <w:rPr>
          <w:rFonts w:ascii="Arial" w:hAnsi="Arial"/>
          <w:sz w:val="22"/>
        </w:rPr>
        <w:t>dipl.oec</w:t>
      </w:r>
      <w:proofErr w:type="spellEnd"/>
      <w:r w:rsidRPr="00417E19">
        <w:rPr>
          <w:rFonts w:ascii="Arial" w:hAnsi="Arial"/>
          <w:sz w:val="22"/>
        </w:rPr>
        <w:t xml:space="preserve">.                        </w:t>
      </w:r>
    </w:p>
    <w:p w:rsidR="007576C0" w:rsidRPr="00417E19" w:rsidRDefault="007576C0" w:rsidP="007576C0">
      <w:pPr>
        <w:pStyle w:val="BodyText"/>
        <w:rPr>
          <w:rFonts w:ascii="Arial" w:hAnsi="Arial"/>
          <w:sz w:val="22"/>
          <w:szCs w:val="22"/>
        </w:rPr>
      </w:pPr>
    </w:p>
    <w:p w:rsidR="007576C0" w:rsidRPr="00417E19" w:rsidRDefault="007576C0" w:rsidP="007576C0">
      <w:pPr>
        <w:pStyle w:val="BodyText"/>
        <w:rPr>
          <w:rFonts w:ascii="Arial" w:hAnsi="Arial"/>
          <w:sz w:val="22"/>
          <w:szCs w:val="22"/>
        </w:rPr>
      </w:pPr>
    </w:p>
    <w:p w:rsidR="007576C0" w:rsidRPr="00417E19" w:rsidRDefault="007576C0" w:rsidP="007576C0">
      <w:pPr>
        <w:pStyle w:val="BodyText"/>
        <w:rPr>
          <w:rFonts w:ascii="Arial" w:hAnsi="Arial"/>
          <w:sz w:val="22"/>
        </w:rPr>
      </w:pPr>
    </w:p>
    <w:p w:rsidR="007576C0" w:rsidRPr="00417E19" w:rsidRDefault="007576C0" w:rsidP="007576C0">
      <w:pPr>
        <w:pStyle w:val="BodyText"/>
        <w:rPr>
          <w:rFonts w:ascii="Arial" w:hAnsi="Arial"/>
          <w:sz w:val="22"/>
        </w:rPr>
      </w:pPr>
    </w:p>
    <w:p w:rsidR="007576C0" w:rsidRPr="00417E19" w:rsidRDefault="007576C0" w:rsidP="007576C0">
      <w:pPr>
        <w:pStyle w:val="BodyText"/>
        <w:rPr>
          <w:rFonts w:ascii="Arial" w:hAnsi="Arial"/>
          <w:sz w:val="22"/>
        </w:rPr>
      </w:pPr>
    </w:p>
    <w:p w:rsidR="007576C0" w:rsidRPr="00417E19" w:rsidRDefault="007576C0" w:rsidP="007576C0">
      <w:pPr>
        <w:pStyle w:val="BodyText"/>
        <w:rPr>
          <w:rFonts w:ascii="Arial" w:hAnsi="Arial"/>
          <w:b/>
          <w:sz w:val="22"/>
        </w:rPr>
      </w:pPr>
      <w:r w:rsidRPr="00417E19">
        <w:rPr>
          <w:rFonts w:ascii="Arial" w:hAnsi="Arial"/>
          <w:sz w:val="22"/>
        </w:rPr>
        <w:tab/>
      </w:r>
      <w:r w:rsidRPr="00417E19">
        <w:rPr>
          <w:rFonts w:ascii="Arial" w:hAnsi="Arial"/>
          <w:sz w:val="22"/>
        </w:rPr>
        <w:tab/>
      </w:r>
      <w:r w:rsidRPr="00417E19">
        <w:rPr>
          <w:rFonts w:ascii="Arial" w:hAnsi="Arial"/>
          <w:sz w:val="22"/>
        </w:rPr>
        <w:tab/>
      </w:r>
      <w:r w:rsidRPr="00417E19">
        <w:rPr>
          <w:rFonts w:ascii="Arial" w:hAnsi="Arial"/>
          <w:sz w:val="22"/>
        </w:rPr>
        <w:tab/>
      </w:r>
      <w:r w:rsidRPr="00417E19">
        <w:rPr>
          <w:rFonts w:ascii="Arial" w:hAnsi="Arial"/>
          <w:sz w:val="22"/>
        </w:rPr>
        <w:tab/>
      </w:r>
      <w:r w:rsidRPr="00417E19">
        <w:rPr>
          <w:rFonts w:ascii="Arial" w:hAnsi="Arial"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  <w:t xml:space="preserve">Zakonski predstavnik:       </w:t>
      </w:r>
    </w:p>
    <w:p w:rsidR="007576C0" w:rsidRPr="00417E19" w:rsidRDefault="007576C0" w:rsidP="007576C0">
      <w:pPr>
        <w:pStyle w:val="BodyText"/>
        <w:rPr>
          <w:rFonts w:ascii="Arial" w:hAnsi="Arial"/>
          <w:b/>
          <w:sz w:val="22"/>
        </w:rPr>
      </w:pP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</w:p>
    <w:p w:rsidR="007576C0" w:rsidRPr="00417E19" w:rsidRDefault="007576C0" w:rsidP="007576C0">
      <w:pPr>
        <w:pStyle w:val="BodyText"/>
        <w:rPr>
          <w:rFonts w:ascii="Arial" w:hAnsi="Arial"/>
          <w:b/>
          <w:sz w:val="12"/>
          <w:szCs w:val="12"/>
        </w:rPr>
      </w:pP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  <w:t xml:space="preserve">Župan  </w:t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  <w:t xml:space="preserve">     </w:t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  <w:szCs w:val="22"/>
        </w:rPr>
        <w:t>M. P.</w:t>
      </w:r>
      <w:r w:rsidRPr="00417E19">
        <w:rPr>
          <w:rFonts w:ascii="Arial" w:hAnsi="Arial"/>
          <w:b/>
          <w:sz w:val="22"/>
          <w:szCs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  <w:t xml:space="preserve">     </w:t>
      </w:r>
      <w:r w:rsidRPr="00417E19">
        <w:rPr>
          <w:rFonts w:ascii="Arial" w:hAnsi="Arial"/>
          <w:b/>
          <w:sz w:val="22"/>
        </w:rPr>
        <w:tab/>
        <w:t xml:space="preserve">               </w:t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  <w:t xml:space="preserve">    </w:t>
      </w:r>
    </w:p>
    <w:p w:rsidR="007576C0" w:rsidRPr="00417E19" w:rsidRDefault="007576C0" w:rsidP="007576C0">
      <w:pPr>
        <w:pStyle w:val="BodyText"/>
        <w:rPr>
          <w:rFonts w:ascii="Arial" w:hAnsi="Arial"/>
          <w:b/>
          <w:sz w:val="22"/>
        </w:rPr>
      </w:pP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</w:r>
      <w:r w:rsidRPr="00417E19">
        <w:rPr>
          <w:rFonts w:ascii="Arial" w:hAnsi="Arial"/>
          <w:b/>
          <w:sz w:val="22"/>
        </w:rPr>
        <w:tab/>
        <w:t xml:space="preserve">     _________________________</w:t>
      </w:r>
    </w:p>
    <w:p w:rsidR="007576C0" w:rsidRPr="00417E19" w:rsidRDefault="007576C0" w:rsidP="007576C0">
      <w:pPr>
        <w:spacing w:before="120"/>
        <w:ind w:left="5664"/>
        <w:rPr>
          <w:rFonts w:ascii="Arial" w:hAnsi="Arial"/>
          <w:b/>
          <w:sz w:val="22"/>
        </w:rPr>
      </w:pPr>
      <w:r w:rsidRPr="00417E19">
        <w:rPr>
          <w:rFonts w:ascii="Arial" w:hAnsi="Arial"/>
          <w:b/>
          <w:sz w:val="22"/>
        </w:rPr>
        <w:t xml:space="preserve">        </w:t>
      </w:r>
      <w:r>
        <w:rPr>
          <w:rFonts w:ascii="Arial" w:hAnsi="Arial"/>
          <w:b/>
          <w:sz w:val="22"/>
        </w:rPr>
        <w:t>Ivica Lukanović</w:t>
      </w:r>
      <w:bookmarkStart w:id="0" w:name="_GoBack"/>
      <w:bookmarkEnd w:id="0"/>
      <w:r w:rsidRPr="00417E19">
        <w:rPr>
          <w:rFonts w:ascii="Arial" w:hAnsi="Arial"/>
          <w:b/>
          <w:sz w:val="22"/>
        </w:rPr>
        <w:t xml:space="preserve">, </w:t>
      </w:r>
      <w:proofErr w:type="spellStart"/>
      <w:r w:rsidRPr="00417E19">
        <w:rPr>
          <w:rFonts w:ascii="Arial" w:hAnsi="Arial"/>
          <w:b/>
          <w:sz w:val="22"/>
        </w:rPr>
        <w:t>dipl.ing</w:t>
      </w:r>
      <w:proofErr w:type="spellEnd"/>
      <w:r w:rsidRPr="00417E19">
        <w:rPr>
          <w:rFonts w:ascii="Arial" w:hAnsi="Arial"/>
          <w:b/>
          <w:sz w:val="22"/>
        </w:rPr>
        <w:t xml:space="preserve">.                        </w:t>
      </w:r>
    </w:p>
    <w:p w:rsidR="007576C0" w:rsidRDefault="007576C0"/>
    <w:p w:rsidR="007576C0" w:rsidRDefault="007576C0"/>
    <w:sectPr w:rsidR="0075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57"/>
    <w:rsid w:val="007576C0"/>
    <w:rsid w:val="008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066D"/>
  <w15:docId w15:val="{5A98BB5B-6CF4-4453-A460-BA9C3E9B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,uvlaka 3,  uvlaka 2, uvlaka 3"/>
    <w:basedOn w:val="Normal"/>
    <w:link w:val="BodyTextChar"/>
    <w:rsid w:val="007576C0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aliases w:val="uvlaka 2 Char,uvlaka 3 Char,  uvlaka 2 Char, uvlaka 3 Char"/>
    <w:basedOn w:val="DefaultParagraphFont"/>
    <w:link w:val="BodyText"/>
    <w:rsid w:val="007576C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Hadžić</dc:creator>
  <cp:lastModifiedBy>Jasmina Hadžić</cp:lastModifiedBy>
  <cp:revision>2</cp:revision>
  <dcterms:created xsi:type="dcterms:W3CDTF">2025-07-18T05:43:00Z</dcterms:created>
  <dcterms:modified xsi:type="dcterms:W3CDTF">2025-07-18T05:43:00Z</dcterms:modified>
</cp:coreProperties>
</file>