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4A0" w:firstRow="1" w:lastRow="0" w:firstColumn="1" w:lastColumn="0" w:noHBand="0" w:noVBand="1"/>
      </w:tblPr>
      <w:tblGrid>
        <w:gridCol w:w="2254"/>
        <w:gridCol w:w="6746"/>
      </w:tblGrid>
      <w:tr w:rsidR="00AF38BA">
        <w:trPr>
          <w:tblCellSpacing w:w="60" w:type="dxa"/>
        </w:trPr>
        <w:tc>
          <w:tcPr>
            <w:tcW w:w="1200" w:type="pct"/>
            <w:shd w:val="clear" w:color="auto" w:fill="E7F0F9"/>
          </w:tcPr>
          <w:p w:rsidR="00AF38BA" w:rsidRDefault="006B7671">
            <w:pPr>
              <w:spacing w:after="0" w:line="240" w:lineRule="auto"/>
            </w:pPr>
            <w:bookmarkStart w:id="0" w:name="_GoBack"/>
            <w:bookmarkEnd w:id="0"/>
            <w:r>
              <w:rPr>
                <w:b/>
              </w:rPr>
              <w:t>RKP broj</w:t>
            </w:r>
          </w:p>
        </w:tc>
        <w:tc>
          <w:tcPr>
            <w:tcW w:w="0" w:type="auto"/>
            <w:shd w:val="clear" w:color="auto" w:fill="E7F0F9"/>
          </w:tcPr>
          <w:p w:rsidR="00AF38BA" w:rsidRDefault="006B7671">
            <w:pPr>
              <w:spacing w:after="0" w:line="240" w:lineRule="auto"/>
            </w:pPr>
            <w:r>
              <w:t>29429</w:t>
            </w:r>
          </w:p>
        </w:tc>
      </w:tr>
      <w:tr w:rsidR="00AF38BA">
        <w:trPr>
          <w:tblCellSpacing w:w="60" w:type="dxa"/>
        </w:trPr>
        <w:tc>
          <w:tcPr>
            <w:tcW w:w="1200" w:type="pct"/>
            <w:shd w:val="clear" w:color="auto" w:fill="E7F0F9"/>
          </w:tcPr>
          <w:p w:rsidR="00AF38BA" w:rsidRDefault="006B7671">
            <w:pPr>
              <w:spacing w:after="0" w:line="240" w:lineRule="auto"/>
            </w:pPr>
            <w:r>
              <w:rPr>
                <w:b/>
              </w:rPr>
              <w:t>Naziv obveznika</w:t>
            </w:r>
          </w:p>
        </w:tc>
        <w:tc>
          <w:tcPr>
            <w:tcW w:w="0" w:type="auto"/>
            <w:shd w:val="clear" w:color="auto" w:fill="E7F0F9"/>
          </w:tcPr>
          <w:p w:rsidR="00AF38BA" w:rsidRDefault="006B7671">
            <w:pPr>
              <w:spacing w:after="0" w:line="240" w:lineRule="auto"/>
            </w:pPr>
            <w:r>
              <w:t>PRIMORSKO-GORANSKA ŽUPANIJA</w:t>
            </w:r>
          </w:p>
        </w:tc>
      </w:tr>
      <w:tr w:rsidR="00AF38BA">
        <w:trPr>
          <w:tblCellSpacing w:w="60" w:type="dxa"/>
        </w:trPr>
        <w:tc>
          <w:tcPr>
            <w:tcW w:w="1200" w:type="pct"/>
            <w:shd w:val="clear" w:color="auto" w:fill="E7F0F9"/>
          </w:tcPr>
          <w:p w:rsidR="00AF38BA" w:rsidRDefault="006B7671">
            <w:pPr>
              <w:spacing w:after="0" w:line="240" w:lineRule="auto"/>
            </w:pPr>
            <w:r>
              <w:rPr>
                <w:b/>
              </w:rPr>
              <w:t>Razina</w:t>
            </w:r>
          </w:p>
        </w:tc>
        <w:tc>
          <w:tcPr>
            <w:tcW w:w="0" w:type="auto"/>
            <w:shd w:val="clear" w:color="auto" w:fill="E7F0F9"/>
          </w:tcPr>
          <w:p w:rsidR="00AF38BA" w:rsidRDefault="006B7671">
            <w:pPr>
              <w:spacing w:after="0" w:line="240" w:lineRule="auto"/>
            </w:pPr>
            <w:r>
              <w:t>22</w:t>
            </w:r>
          </w:p>
        </w:tc>
      </w:tr>
    </w:tbl>
    <w:p w:rsidR="00AF38BA" w:rsidRDefault="006B7671">
      <w:r>
        <w:br/>
      </w:r>
    </w:p>
    <w:p w:rsidR="00AF38BA" w:rsidRDefault="006B7671">
      <w:pPr>
        <w:spacing w:line="240" w:lineRule="auto"/>
        <w:jc w:val="center"/>
      </w:pPr>
      <w:r>
        <w:rPr>
          <w:b/>
          <w:sz w:val="28"/>
        </w:rPr>
        <w:t>BILJEŠKE UZ FINANCIJSKE IZVJEŠTAJE</w:t>
      </w:r>
    </w:p>
    <w:p w:rsidR="00AF38BA" w:rsidRDefault="006B7671">
      <w:pPr>
        <w:spacing w:line="240" w:lineRule="auto"/>
        <w:jc w:val="center"/>
      </w:pPr>
      <w:r>
        <w:rPr>
          <w:b/>
          <w:sz w:val="28"/>
        </w:rPr>
        <w:t>ZA RAZDOBLJE</w:t>
      </w:r>
    </w:p>
    <w:p w:rsidR="00AF38BA" w:rsidRDefault="006B7671">
      <w:pPr>
        <w:spacing w:line="240" w:lineRule="auto"/>
        <w:jc w:val="center"/>
      </w:pPr>
      <w:r>
        <w:rPr>
          <w:b/>
          <w:sz w:val="28"/>
        </w:rPr>
        <w:t>I - XII 2025.</w:t>
      </w:r>
    </w:p>
    <w:p w:rsidR="00AF38BA" w:rsidRDefault="00AF38BA"/>
    <w:p w:rsidR="00AF38BA" w:rsidRDefault="006B7671">
      <w:pPr>
        <w:keepNext/>
        <w:spacing w:line="240" w:lineRule="auto"/>
        <w:jc w:val="center"/>
      </w:pPr>
      <w:r>
        <w:rPr>
          <w:b/>
          <w:sz w:val="28"/>
        </w:rPr>
        <w:t>Izvještaj o prihodima i rashodima, primicima i izdacima</w:t>
      </w:r>
    </w:p>
    <w:p w:rsidR="00AF38BA" w:rsidRDefault="006B7671">
      <w:pPr>
        <w:keepNext/>
        <w:spacing w:line="240"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F38BA">
        <w:trPr>
          <w:cantSplit/>
        </w:trPr>
        <w:tc>
          <w:tcPr>
            <w:tcW w:w="700" w:type="dxa"/>
            <w:shd w:val="clear" w:color="auto" w:fill="E7F0F9"/>
            <w:tcMar>
              <w:top w:w="0" w:type="dxa"/>
              <w:bottom w:w="0" w:type="dxa"/>
            </w:tcMar>
            <w:vAlign w:val="center"/>
          </w:tcPr>
          <w:p w:rsidR="00AF38BA" w:rsidRDefault="006B767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AF38BA" w:rsidRDefault="006B767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F38BA" w:rsidRDefault="006B767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F38BA" w:rsidRDefault="006B767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AF38BA" w:rsidRDefault="006B767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AF38BA" w:rsidRDefault="006B7671">
            <w:pPr>
              <w:keepNext/>
              <w:keepLines/>
              <w:spacing w:after="0" w:line="240" w:lineRule="auto"/>
              <w:jc w:val="center"/>
            </w:pPr>
            <w:r>
              <w:rPr>
                <w:b/>
                <w:sz w:val="18"/>
              </w:rPr>
              <w:t>Indeks (%)</w:t>
            </w:r>
          </w:p>
        </w:tc>
      </w:tr>
      <w:tr w:rsidR="00AF38BA">
        <w:trPr>
          <w:cantSplit/>
          <w:trHeight w:val="560"/>
        </w:trPr>
        <w:tc>
          <w:tcPr>
            <w:tcW w:w="700" w:type="dxa"/>
            <w:tcMar>
              <w:top w:w="0" w:type="dxa"/>
              <w:bottom w:w="0" w:type="dxa"/>
            </w:tcMar>
            <w:vAlign w:val="center"/>
          </w:tcPr>
          <w:p w:rsidR="00AF38BA" w:rsidRDefault="006B7671">
            <w:pPr>
              <w:keepNext/>
              <w:keepLines/>
              <w:spacing w:after="0" w:line="240" w:lineRule="auto"/>
            </w:pPr>
            <w:r>
              <w:rPr>
                <w:sz w:val="18"/>
              </w:rPr>
              <w:t>6</w:t>
            </w:r>
          </w:p>
        </w:tc>
        <w:tc>
          <w:tcPr>
            <w:tcW w:w="3180" w:type="dxa"/>
            <w:tcMar>
              <w:top w:w="0" w:type="dxa"/>
              <w:bottom w:w="0" w:type="dxa"/>
            </w:tcMar>
            <w:vAlign w:val="center"/>
          </w:tcPr>
          <w:p w:rsidR="00AF38BA" w:rsidRDefault="006B7671">
            <w:pPr>
              <w:keepNext/>
              <w:keepLines/>
              <w:spacing w:after="0" w:line="240" w:lineRule="auto"/>
            </w:pPr>
            <w:r>
              <w:rPr>
                <w:sz w:val="18"/>
              </w:rPr>
              <w:t>PRIHODI POSLOVANJA (šifre 61+62+63+64+65+66+67+68)</w:t>
            </w:r>
          </w:p>
        </w:tc>
        <w:tc>
          <w:tcPr>
            <w:tcW w:w="700" w:type="dxa"/>
            <w:tcMar>
              <w:top w:w="0" w:type="dxa"/>
              <w:bottom w:w="0" w:type="dxa"/>
            </w:tcMar>
            <w:vAlign w:val="center"/>
          </w:tcPr>
          <w:p w:rsidR="00AF38BA" w:rsidRDefault="006B7671">
            <w:pPr>
              <w:keepNext/>
              <w:keepLines/>
              <w:spacing w:after="0" w:line="240" w:lineRule="auto"/>
            </w:pPr>
            <w:r>
              <w:rPr>
                <w:sz w:val="18"/>
              </w:rPr>
              <w:t>6</w:t>
            </w:r>
          </w:p>
        </w:tc>
        <w:tc>
          <w:tcPr>
            <w:tcW w:w="1860" w:type="dxa"/>
            <w:tcMar>
              <w:top w:w="0" w:type="dxa"/>
              <w:bottom w:w="0" w:type="dxa"/>
            </w:tcMar>
            <w:vAlign w:val="center"/>
          </w:tcPr>
          <w:p w:rsidR="00AF38BA" w:rsidRDefault="006B7671">
            <w:pPr>
              <w:keepNext/>
              <w:keepLines/>
              <w:spacing w:after="0" w:line="240" w:lineRule="auto"/>
              <w:jc w:val="right"/>
            </w:pPr>
            <w:r>
              <w:rPr>
                <w:sz w:val="18"/>
              </w:rPr>
              <w:t>82.594.561,61</w:t>
            </w:r>
          </w:p>
        </w:tc>
        <w:tc>
          <w:tcPr>
            <w:tcW w:w="1860" w:type="dxa"/>
            <w:tcMar>
              <w:top w:w="0" w:type="dxa"/>
              <w:bottom w:w="0" w:type="dxa"/>
            </w:tcMar>
            <w:vAlign w:val="center"/>
          </w:tcPr>
          <w:p w:rsidR="00AF38BA" w:rsidRDefault="006B7671">
            <w:pPr>
              <w:keepNext/>
              <w:keepLines/>
              <w:spacing w:after="0" w:line="240" w:lineRule="auto"/>
              <w:jc w:val="right"/>
            </w:pPr>
            <w:r>
              <w:rPr>
                <w:sz w:val="18"/>
              </w:rPr>
              <w:t>97.533.778,43</w:t>
            </w:r>
          </w:p>
        </w:tc>
        <w:tc>
          <w:tcPr>
            <w:tcW w:w="700" w:type="dxa"/>
            <w:tcMar>
              <w:top w:w="0" w:type="dxa"/>
              <w:bottom w:w="0" w:type="dxa"/>
            </w:tcMar>
            <w:vAlign w:val="center"/>
          </w:tcPr>
          <w:p w:rsidR="00AF38BA" w:rsidRDefault="006B7671">
            <w:pPr>
              <w:keepNext/>
              <w:keepLines/>
              <w:spacing w:after="0" w:line="240" w:lineRule="auto"/>
              <w:jc w:val="right"/>
            </w:pPr>
            <w:r>
              <w:rPr>
                <w:sz w:val="18"/>
              </w:rPr>
              <w:t>118,1</w:t>
            </w:r>
          </w:p>
        </w:tc>
      </w:tr>
      <w:tr w:rsidR="00AF38BA">
        <w:trPr>
          <w:cantSplit/>
          <w:trHeight w:val="560"/>
        </w:trPr>
        <w:tc>
          <w:tcPr>
            <w:tcW w:w="700" w:type="dxa"/>
            <w:tcMar>
              <w:top w:w="0" w:type="dxa"/>
              <w:bottom w:w="0" w:type="dxa"/>
            </w:tcMar>
            <w:vAlign w:val="center"/>
          </w:tcPr>
          <w:p w:rsidR="00AF38BA" w:rsidRDefault="006B7671">
            <w:pPr>
              <w:keepNext/>
              <w:keepLines/>
              <w:spacing w:after="0" w:line="240" w:lineRule="auto"/>
            </w:pPr>
            <w:r>
              <w:rPr>
                <w:sz w:val="18"/>
              </w:rPr>
              <w:t>3</w:t>
            </w:r>
          </w:p>
        </w:tc>
        <w:tc>
          <w:tcPr>
            <w:tcW w:w="3180" w:type="dxa"/>
            <w:tcMar>
              <w:top w:w="0" w:type="dxa"/>
              <w:bottom w:w="0" w:type="dxa"/>
            </w:tcMar>
            <w:vAlign w:val="center"/>
          </w:tcPr>
          <w:p w:rsidR="00AF38BA" w:rsidRDefault="006B7671">
            <w:pPr>
              <w:keepNext/>
              <w:keepLines/>
              <w:spacing w:after="0" w:line="240" w:lineRule="auto"/>
            </w:pPr>
            <w:r>
              <w:rPr>
                <w:sz w:val="18"/>
              </w:rPr>
              <w:t>RASHODI POSLOVANJA (šifre 31+32+34+35+36+37+38)</w:t>
            </w:r>
          </w:p>
        </w:tc>
        <w:tc>
          <w:tcPr>
            <w:tcW w:w="700" w:type="dxa"/>
            <w:tcMar>
              <w:top w:w="0" w:type="dxa"/>
              <w:bottom w:w="0" w:type="dxa"/>
            </w:tcMar>
            <w:vAlign w:val="center"/>
          </w:tcPr>
          <w:p w:rsidR="00AF38BA" w:rsidRDefault="006B7671">
            <w:pPr>
              <w:keepNext/>
              <w:keepLines/>
              <w:spacing w:after="0" w:line="240" w:lineRule="auto"/>
            </w:pPr>
            <w:r>
              <w:rPr>
                <w:sz w:val="18"/>
              </w:rPr>
              <w:t>3</w:t>
            </w:r>
          </w:p>
        </w:tc>
        <w:tc>
          <w:tcPr>
            <w:tcW w:w="1860" w:type="dxa"/>
            <w:tcMar>
              <w:top w:w="0" w:type="dxa"/>
              <w:bottom w:w="0" w:type="dxa"/>
            </w:tcMar>
            <w:vAlign w:val="center"/>
          </w:tcPr>
          <w:p w:rsidR="00AF38BA" w:rsidRDefault="006B7671">
            <w:pPr>
              <w:keepNext/>
              <w:keepLines/>
              <w:spacing w:after="0" w:line="240" w:lineRule="auto"/>
              <w:jc w:val="right"/>
            </w:pPr>
            <w:r>
              <w:rPr>
                <w:sz w:val="18"/>
              </w:rPr>
              <w:t>71.598.360,34</w:t>
            </w:r>
          </w:p>
        </w:tc>
        <w:tc>
          <w:tcPr>
            <w:tcW w:w="1860" w:type="dxa"/>
            <w:tcMar>
              <w:top w:w="0" w:type="dxa"/>
              <w:bottom w:w="0" w:type="dxa"/>
            </w:tcMar>
            <w:vAlign w:val="center"/>
          </w:tcPr>
          <w:p w:rsidR="00AF38BA" w:rsidRDefault="006B7671">
            <w:pPr>
              <w:keepNext/>
              <w:keepLines/>
              <w:spacing w:after="0" w:line="240" w:lineRule="auto"/>
              <w:jc w:val="right"/>
            </w:pPr>
            <w:r>
              <w:rPr>
                <w:sz w:val="18"/>
              </w:rPr>
              <w:t>92.070.561,90</w:t>
            </w:r>
          </w:p>
        </w:tc>
        <w:tc>
          <w:tcPr>
            <w:tcW w:w="700" w:type="dxa"/>
            <w:tcMar>
              <w:top w:w="0" w:type="dxa"/>
              <w:bottom w:w="0" w:type="dxa"/>
            </w:tcMar>
            <w:vAlign w:val="center"/>
          </w:tcPr>
          <w:p w:rsidR="00AF38BA" w:rsidRDefault="006B7671">
            <w:pPr>
              <w:keepNext/>
              <w:keepLines/>
              <w:spacing w:after="0" w:line="240" w:lineRule="auto"/>
              <w:jc w:val="right"/>
            </w:pPr>
            <w:r>
              <w:rPr>
                <w:sz w:val="18"/>
              </w:rPr>
              <w:t>128,6</w:t>
            </w:r>
          </w:p>
        </w:tc>
      </w:tr>
      <w:tr w:rsidR="00AF38BA">
        <w:trPr>
          <w:cantSplit/>
          <w:trHeight w:val="560"/>
        </w:trPr>
        <w:tc>
          <w:tcPr>
            <w:tcW w:w="700" w:type="dxa"/>
            <w:tcMar>
              <w:top w:w="0" w:type="dxa"/>
              <w:bottom w:w="0" w:type="dxa"/>
            </w:tcMar>
            <w:vAlign w:val="center"/>
          </w:tcPr>
          <w:p w:rsidR="00AF38BA" w:rsidRDefault="00AF38BA">
            <w:pPr>
              <w:keepNext/>
              <w:keepLines/>
              <w:spacing w:after="0" w:line="240" w:lineRule="auto"/>
            </w:pPr>
          </w:p>
        </w:tc>
        <w:tc>
          <w:tcPr>
            <w:tcW w:w="3180" w:type="dxa"/>
            <w:tcMar>
              <w:top w:w="0" w:type="dxa"/>
              <w:bottom w:w="0" w:type="dxa"/>
            </w:tcMar>
            <w:vAlign w:val="center"/>
          </w:tcPr>
          <w:p w:rsidR="00AF38BA" w:rsidRDefault="006B7671">
            <w:pPr>
              <w:keepNext/>
              <w:keepLines/>
              <w:spacing w:after="0" w:line="240" w:lineRule="auto"/>
            </w:pPr>
            <w:r>
              <w:rPr>
                <w:b/>
                <w:sz w:val="18"/>
              </w:rPr>
              <w:t>VIŠAK PRIHODA POSLOVANJA (šifre 6-Z005)</w:t>
            </w:r>
          </w:p>
        </w:tc>
        <w:tc>
          <w:tcPr>
            <w:tcW w:w="700" w:type="dxa"/>
            <w:tcMar>
              <w:top w:w="0" w:type="dxa"/>
              <w:bottom w:w="0" w:type="dxa"/>
            </w:tcMar>
            <w:vAlign w:val="center"/>
          </w:tcPr>
          <w:p w:rsidR="00AF38BA" w:rsidRDefault="006B7671">
            <w:pPr>
              <w:keepNext/>
              <w:keepLines/>
              <w:spacing w:after="0" w:line="240" w:lineRule="auto"/>
            </w:pPr>
            <w:r>
              <w:rPr>
                <w:b/>
                <w:sz w:val="18"/>
              </w:rPr>
              <w:t>X001</w:t>
            </w:r>
          </w:p>
        </w:tc>
        <w:tc>
          <w:tcPr>
            <w:tcW w:w="1860" w:type="dxa"/>
            <w:tcMar>
              <w:top w:w="0" w:type="dxa"/>
              <w:bottom w:w="0" w:type="dxa"/>
            </w:tcMar>
            <w:vAlign w:val="center"/>
          </w:tcPr>
          <w:p w:rsidR="00AF38BA" w:rsidRDefault="006B7671">
            <w:pPr>
              <w:keepNext/>
              <w:keepLines/>
              <w:spacing w:after="0" w:line="240" w:lineRule="auto"/>
              <w:jc w:val="right"/>
            </w:pPr>
            <w:r>
              <w:rPr>
                <w:b/>
                <w:sz w:val="18"/>
              </w:rPr>
              <w:t>10.996.201,27</w:t>
            </w:r>
          </w:p>
        </w:tc>
        <w:tc>
          <w:tcPr>
            <w:tcW w:w="1860" w:type="dxa"/>
            <w:tcMar>
              <w:top w:w="0" w:type="dxa"/>
              <w:bottom w:w="0" w:type="dxa"/>
            </w:tcMar>
            <w:vAlign w:val="center"/>
          </w:tcPr>
          <w:p w:rsidR="00AF38BA" w:rsidRDefault="006B7671">
            <w:pPr>
              <w:keepNext/>
              <w:keepLines/>
              <w:spacing w:after="0" w:line="240" w:lineRule="auto"/>
              <w:jc w:val="right"/>
            </w:pPr>
            <w:r>
              <w:rPr>
                <w:b/>
                <w:sz w:val="18"/>
              </w:rPr>
              <w:t>5.463.216,53</w:t>
            </w:r>
          </w:p>
        </w:tc>
        <w:tc>
          <w:tcPr>
            <w:tcW w:w="700" w:type="dxa"/>
            <w:tcMar>
              <w:top w:w="0" w:type="dxa"/>
              <w:bottom w:w="0" w:type="dxa"/>
            </w:tcMar>
            <w:vAlign w:val="center"/>
          </w:tcPr>
          <w:p w:rsidR="00AF38BA" w:rsidRDefault="006B7671">
            <w:pPr>
              <w:keepNext/>
              <w:keepLines/>
              <w:spacing w:after="0" w:line="240" w:lineRule="auto"/>
              <w:jc w:val="right"/>
            </w:pPr>
            <w:r>
              <w:rPr>
                <w:b/>
                <w:sz w:val="18"/>
              </w:rPr>
              <w:t>49,7</w:t>
            </w:r>
          </w:p>
        </w:tc>
      </w:tr>
      <w:tr w:rsidR="00AF38BA">
        <w:trPr>
          <w:cantSplit/>
          <w:trHeight w:val="560"/>
        </w:trPr>
        <w:tc>
          <w:tcPr>
            <w:tcW w:w="700" w:type="dxa"/>
            <w:tcMar>
              <w:top w:w="0" w:type="dxa"/>
              <w:bottom w:w="0" w:type="dxa"/>
            </w:tcMar>
            <w:vAlign w:val="center"/>
          </w:tcPr>
          <w:p w:rsidR="00AF38BA" w:rsidRDefault="006B7671">
            <w:pPr>
              <w:keepNext/>
              <w:keepLines/>
              <w:spacing w:after="0" w:line="240" w:lineRule="auto"/>
            </w:pPr>
            <w:r>
              <w:rPr>
                <w:sz w:val="18"/>
              </w:rPr>
              <w:t>7</w:t>
            </w:r>
          </w:p>
        </w:tc>
        <w:tc>
          <w:tcPr>
            <w:tcW w:w="3180" w:type="dxa"/>
            <w:tcMar>
              <w:top w:w="0" w:type="dxa"/>
              <w:bottom w:w="0" w:type="dxa"/>
            </w:tcMar>
            <w:vAlign w:val="center"/>
          </w:tcPr>
          <w:p w:rsidR="00AF38BA" w:rsidRDefault="006B7671">
            <w:pPr>
              <w:keepNext/>
              <w:keepLines/>
              <w:spacing w:after="0" w:line="240" w:lineRule="auto"/>
            </w:pPr>
            <w:r>
              <w:rPr>
                <w:sz w:val="18"/>
              </w:rPr>
              <w:t>Prihodi od prodaje nefinancijske imovine (šifre 71+72+73+74)</w:t>
            </w:r>
          </w:p>
        </w:tc>
        <w:tc>
          <w:tcPr>
            <w:tcW w:w="700" w:type="dxa"/>
            <w:tcMar>
              <w:top w:w="0" w:type="dxa"/>
              <w:bottom w:w="0" w:type="dxa"/>
            </w:tcMar>
            <w:vAlign w:val="center"/>
          </w:tcPr>
          <w:p w:rsidR="00AF38BA" w:rsidRDefault="006B7671">
            <w:pPr>
              <w:keepNext/>
              <w:keepLines/>
              <w:spacing w:after="0" w:line="240" w:lineRule="auto"/>
            </w:pPr>
            <w:r>
              <w:rPr>
                <w:sz w:val="18"/>
              </w:rPr>
              <w:t>7</w:t>
            </w:r>
          </w:p>
        </w:tc>
        <w:tc>
          <w:tcPr>
            <w:tcW w:w="1860" w:type="dxa"/>
            <w:tcMar>
              <w:top w:w="0" w:type="dxa"/>
              <w:bottom w:w="0" w:type="dxa"/>
            </w:tcMar>
            <w:vAlign w:val="center"/>
          </w:tcPr>
          <w:p w:rsidR="00AF38BA" w:rsidRDefault="006B7671">
            <w:pPr>
              <w:keepNext/>
              <w:keepLines/>
              <w:spacing w:after="0" w:line="240" w:lineRule="auto"/>
              <w:jc w:val="right"/>
            </w:pPr>
            <w:r>
              <w:rPr>
                <w:sz w:val="18"/>
              </w:rPr>
              <w:t>31.389,77</w:t>
            </w:r>
          </w:p>
        </w:tc>
        <w:tc>
          <w:tcPr>
            <w:tcW w:w="1860" w:type="dxa"/>
            <w:tcMar>
              <w:top w:w="0" w:type="dxa"/>
              <w:bottom w:w="0" w:type="dxa"/>
            </w:tcMar>
            <w:vAlign w:val="center"/>
          </w:tcPr>
          <w:p w:rsidR="00AF38BA" w:rsidRDefault="006B7671">
            <w:pPr>
              <w:keepNext/>
              <w:keepLines/>
              <w:spacing w:after="0" w:line="240" w:lineRule="auto"/>
              <w:jc w:val="right"/>
            </w:pPr>
            <w:r>
              <w:rPr>
                <w:sz w:val="18"/>
              </w:rPr>
              <w:t>192.951,84</w:t>
            </w:r>
          </w:p>
        </w:tc>
        <w:tc>
          <w:tcPr>
            <w:tcW w:w="700" w:type="dxa"/>
            <w:tcMar>
              <w:top w:w="0" w:type="dxa"/>
              <w:bottom w:w="0" w:type="dxa"/>
            </w:tcMar>
            <w:vAlign w:val="center"/>
          </w:tcPr>
          <w:p w:rsidR="00AF38BA" w:rsidRDefault="006B7671">
            <w:pPr>
              <w:keepNext/>
              <w:keepLines/>
              <w:spacing w:after="0" w:line="240" w:lineRule="auto"/>
              <w:jc w:val="right"/>
            </w:pPr>
            <w:r>
              <w:rPr>
                <w:sz w:val="18"/>
              </w:rPr>
              <w:t>614,7</w:t>
            </w:r>
          </w:p>
        </w:tc>
      </w:tr>
      <w:tr w:rsidR="00AF38BA">
        <w:trPr>
          <w:cantSplit/>
          <w:trHeight w:val="560"/>
        </w:trPr>
        <w:tc>
          <w:tcPr>
            <w:tcW w:w="700" w:type="dxa"/>
            <w:tcMar>
              <w:top w:w="0" w:type="dxa"/>
              <w:bottom w:w="0" w:type="dxa"/>
            </w:tcMar>
            <w:vAlign w:val="center"/>
          </w:tcPr>
          <w:p w:rsidR="00AF38BA" w:rsidRDefault="006B7671">
            <w:pPr>
              <w:keepNext/>
              <w:keepLines/>
              <w:spacing w:after="0" w:line="240" w:lineRule="auto"/>
            </w:pPr>
            <w:r>
              <w:rPr>
                <w:sz w:val="18"/>
              </w:rPr>
              <w:t>4</w:t>
            </w:r>
          </w:p>
        </w:tc>
        <w:tc>
          <w:tcPr>
            <w:tcW w:w="3180" w:type="dxa"/>
            <w:tcMar>
              <w:top w:w="0" w:type="dxa"/>
              <w:bottom w:w="0" w:type="dxa"/>
            </w:tcMar>
            <w:vAlign w:val="center"/>
          </w:tcPr>
          <w:p w:rsidR="00AF38BA" w:rsidRDefault="006B7671">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rsidR="00AF38BA" w:rsidRDefault="006B7671">
            <w:pPr>
              <w:keepNext/>
              <w:keepLines/>
              <w:spacing w:after="0" w:line="240" w:lineRule="auto"/>
            </w:pPr>
            <w:r>
              <w:rPr>
                <w:sz w:val="18"/>
              </w:rPr>
              <w:t>4</w:t>
            </w:r>
          </w:p>
        </w:tc>
        <w:tc>
          <w:tcPr>
            <w:tcW w:w="1860" w:type="dxa"/>
            <w:tcMar>
              <w:top w:w="0" w:type="dxa"/>
              <w:bottom w:w="0" w:type="dxa"/>
            </w:tcMar>
            <w:vAlign w:val="center"/>
          </w:tcPr>
          <w:p w:rsidR="00AF38BA" w:rsidRDefault="006B7671">
            <w:pPr>
              <w:keepNext/>
              <w:keepLines/>
              <w:spacing w:after="0" w:line="240" w:lineRule="auto"/>
              <w:jc w:val="right"/>
            </w:pPr>
            <w:r>
              <w:rPr>
                <w:sz w:val="18"/>
              </w:rPr>
              <w:t>1.235.889,86</w:t>
            </w:r>
          </w:p>
        </w:tc>
        <w:tc>
          <w:tcPr>
            <w:tcW w:w="1860" w:type="dxa"/>
            <w:tcMar>
              <w:top w:w="0" w:type="dxa"/>
              <w:bottom w:w="0" w:type="dxa"/>
            </w:tcMar>
            <w:vAlign w:val="center"/>
          </w:tcPr>
          <w:p w:rsidR="00AF38BA" w:rsidRDefault="006B7671">
            <w:pPr>
              <w:keepNext/>
              <w:keepLines/>
              <w:spacing w:after="0" w:line="240" w:lineRule="auto"/>
              <w:jc w:val="right"/>
            </w:pPr>
            <w:r>
              <w:rPr>
                <w:sz w:val="18"/>
              </w:rPr>
              <w:t>5.558.392,78</w:t>
            </w:r>
          </w:p>
        </w:tc>
        <w:tc>
          <w:tcPr>
            <w:tcW w:w="700" w:type="dxa"/>
            <w:tcMar>
              <w:top w:w="0" w:type="dxa"/>
              <w:bottom w:w="0" w:type="dxa"/>
            </w:tcMar>
            <w:vAlign w:val="center"/>
          </w:tcPr>
          <w:p w:rsidR="00AF38BA" w:rsidRDefault="006B7671">
            <w:pPr>
              <w:keepNext/>
              <w:keepLines/>
              <w:spacing w:after="0" w:line="240" w:lineRule="auto"/>
              <w:jc w:val="right"/>
            </w:pPr>
            <w:r>
              <w:rPr>
                <w:sz w:val="18"/>
              </w:rPr>
              <w:t>449,7</w:t>
            </w:r>
          </w:p>
        </w:tc>
      </w:tr>
      <w:tr w:rsidR="00AF38BA">
        <w:trPr>
          <w:cantSplit/>
          <w:trHeight w:val="560"/>
        </w:trPr>
        <w:tc>
          <w:tcPr>
            <w:tcW w:w="700" w:type="dxa"/>
            <w:tcMar>
              <w:top w:w="0" w:type="dxa"/>
              <w:bottom w:w="0" w:type="dxa"/>
            </w:tcMar>
            <w:vAlign w:val="center"/>
          </w:tcPr>
          <w:p w:rsidR="00AF38BA" w:rsidRDefault="00AF38BA">
            <w:pPr>
              <w:keepNext/>
              <w:keepLines/>
              <w:spacing w:after="0" w:line="240" w:lineRule="auto"/>
            </w:pPr>
          </w:p>
        </w:tc>
        <w:tc>
          <w:tcPr>
            <w:tcW w:w="3180" w:type="dxa"/>
            <w:tcMar>
              <w:top w:w="0" w:type="dxa"/>
              <w:bottom w:w="0" w:type="dxa"/>
            </w:tcMar>
            <w:vAlign w:val="center"/>
          </w:tcPr>
          <w:p w:rsidR="00AF38BA" w:rsidRDefault="006B7671">
            <w:pPr>
              <w:keepNext/>
              <w:keepLines/>
              <w:spacing w:after="0" w:line="240" w:lineRule="auto"/>
            </w:pPr>
            <w:r>
              <w:rPr>
                <w:b/>
                <w:sz w:val="18"/>
              </w:rPr>
              <w:t>MANJAK PRIHODA OD NEFINANCIJSKE IMOVINE (šifre 4-7)</w:t>
            </w:r>
          </w:p>
        </w:tc>
        <w:tc>
          <w:tcPr>
            <w:tcW w:w="700" w:type="dxa"/>
            <w:tcMar>
              <w:top w:w="0" w:type="dxa"/>
              <w:bottom w:w="0" w:type="dxa"/>
            </w:tcMar>
            <w:vAlign w:val="center"/>
          </w:tcPr>
          <w:p w:rsidR="00AF38BA" w:rsidRDefault="006B7671">
            <w:pPr>
              <w:keepNext/>
              <w:keepLines/>
              <w:spacing w:after="0" w:line="240" w:lineRule="auto"/>
            </w:pPr>
            <w:r>
              <w:rPr>
                <w:b/>
                <w:sz w:val="18"/>
              </w:rPr>
              <w:t>Y002</w:t>
            </w:r>
          </w:p>
        </w:tc>
        <w:tc>
          <w:tcPr>
            <w:tcW w:w="1860" w:type="dxa"/>
            <w:tcMar>
              <w:top w:w="0" w:type="dxa"/>
              <w:bottom w:w="0" w:type="dxa"/>
            </w:tcMar>
            <w:vAlign w:val="center"/>
          </w:tcPr>
          <w:p w:rsidR="00AF38BA" w:rsidRDefault="006B7671">
            <w:pPr>
              <w:keepNext/>
              <w:keepLines/>
              <w:spacing w:after="0" w:line="240" w:lineRule="auto"/>
              <w:jc w:val="right"/>
            </w:pPr>
            <w:r>
              <w:rPr>
                <w:b/>
                <w:sz w:val="18"/>
              </w:rPr>
              <w:t>1.204.500,09</w:t>
            </w:r>
          </w:p>
        </w:tc>
        <w:tc>
          <w:tcPr>
            <w:tcW w:w="1860" w:type="dxa"/>
            <w:tcMar>
              <w:top w:w="0" w:type="dxa"/>
              <w:bottom w:w="0" w:type="dxa"/>
            </w:tcMar>
            <w:vAlign w:val="center"/>
          </w:tcPr>
          <w:p w:rsidR="00AF38BA" w:rsidRDefault="006B7671">
            <w:pPr>
              <w:keepNext/>
              <w:keepLines/>
              <w:spacing w:after="0" w:line="240" w:lineRule="auto"/>
              <w:jc w:val="right"/>
            </w:pPr>
            <w:r>
              <w:rPr>
                <w:b/>
                <w:sz w:val="18"/>
              </w:rPr>
              <w:t>5.365.440,94</w:t>
            </w:r>
          </w:p>
        </w:tc>
        <w:tc>
          <w:tcPr>
            <w:tcW w:w="700" w:type="dxa"/>
            <w:tcMar>
              <w:top w:w="0" w:type="dxa"/>
              <w:bottom w:w="0" w:type="dxa"/>
            </w:tcMar>
            <w:vAlign w:val="center"/>
          </w:tcPr>
          <w:p w:rsidR="00AF38BA" w:rsidRDefault="006B7671">
            <w:pPr>
              <w:keepNext/>
              <w:keepLines/>
              <w:spacing w:after="0" w:line="240" w:lineRule="auto"/>
              <w:jc w:val="right"/>
            </w:pPr>
            <w:r>
              <w:rPr>
                <w:b/>
                <w:sz w:val="18"/>
              </w:rPr>
              <w:t>445,4</w:t>
            </w:r>
          </w:p>
        </w:tc>
      </w:tr>
      <w:tr w:rsidR="00AF38BA">
        <w:trPr>
          <w:cantSplit/>
          <w:trHeight w:val="560"/>
        </w:trPr>
        <w:tc>
          <w:tcPr>
            <w:tcW w:w="700" w:type="dxa"/>
            <w:tcMar>
              <w:top w:w="0" w:type="dxa"/>
              <w:bottom w:w="0" w:type="dxa"/>
            </w:tcMar>
            <w:vAlign w:val="center"/>
          </w:tcPr>
          <w:p w:rsidR="00AF38BA" w:rsidRDefault="006B7671">
            <w:pPr>
              <w:keepNext/>
              <w:keepLines/>
              <w:spacing w:after="0" w:line="240" w:lineRule="auto"/>
            </w:pPr>
            <w:r>
              <w:rPr>
                <w:sz w:val="18"/>
              </w:rPr>
              <w:t>8</w:t>
            </w:r>
          </w:p>
        </w:tc>
        <w:tc>
          <w:tcPr>
            <w:tcW w:w="3180" w:type="dxa"/>
            <w:tcMar>
              <w:top w:w="0" w:type="dxa"/>
              <w:bottom w:w="0" w:type="dxa"/>
            </w:tcMar>
            <w:vAlign w:val="center"/>
          </w:tcPr>
          <w:p w:rsidR="00AF38BA" w:rsidRDefault="006B7671">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rsidR="00AF38BA" w:rsidRDefault="006B7671">
            <w:pPr>
              <w:keepNext/>
              <w:keepLines/>
              <w:spacing w:after="0" w:line="240" w:lineRule="auto"/>
            </w:pPr>
            <w:r>
              <w:rPr>
                <w:sz w:val="18"/>
              </w:rPr>
              <w:t>8</w:t>
            </w:r>
          </w:p>
        </w:tc>
        <w:tc>
          <w:tcPr>
            <w:tcW w:w="1860" w:type="dxa"/>
            <w:tcMar>
              <w:top w:w="0" w:type="dxa"/>
              <w:bottom w:w="0" w:type="dxa"/>
            </w:tcMar>
            <w:vAlign w:val="center"/>
          </w:tcPr>
          <w:p w:rsidR="00AF38BA" w:rsidRDefault="006B7671">
            <w:pPr>
              <w:keepNext/>
              <w:keepLines/>
              <w:spacing w:after="0" w:line="240" w:lineRule="auto"/>
              <w:jc w:val="right"/>
            </w:pPr>
            <w:r>
              <w:rPr>
                <w:sz w:val="18"/>
              </w:rPr>
              <w:t>0,00</w:t>
            </w:r>
          </w:p>
        </w:tc>
        <w:tc>
          <w:tcPr>
            <w:tcW w:w="1860" w:type="dxa"/>
            <w:tcMar>
              <w:top w:w="0" w:type="dxa"/>
              <w:bottom w:w="0" w:type="dxa"/>
            </w:tcMar>
            <w:vAlign w:val="center"/>
          </w:tcPr>
          <w:p w:rsidR="00AF38BA" w:rsidRDefault="006B7671">
            <w:pPr>
              <w:keepNext/>
              <w:keepLines/>
              <w:spacing w:after="0" w:line="240" w:lineRule="auto"/>
              <w:jc w:val="right"/>
            </w:pPr>
            <w:r>
              <w:rPr>
                <w:sz w:val="18"/>
              </w:rPr>
              <w:t>1.319.906,61</w:t>
            </w:r>
          </w:p>
        </w:tc>
        <w:tc>
          <w:tcPr>
            <w:tcW w:w="700" w:type="dxa"/>
            <w:tcMar>
              <w:top w:w="0" w:type="dxa"/>
              <w:bottom w:w="0" w:type="dxa"/>
            </w:tcMar>
            <w:vAlign w:val="center"/>
          </w:tcPr>
          <w:p w:rsidR="00AF38BA" w:rsidRDefault="006B7671">
            <w:pPr>
              <w:keepNext/>
              <w:keepLines/>
              <w:spacing w:after="0" w:line="240" w:lineRule="auto"/>
              <w:jc w:val="right"/>
            </w:pPr>
            <w:r>
              <w:rPr>
                <w:sz w:val="18"/>
              </w:rPr>
              <w:t>-</w:t>
            </w:r>
          </w:p>
        </w:tc>
      </w:tr>
      <w:tr w:rsidR="00AF38BA">
        <w:trPr>
          <w:cantSplit/>
          <w:trHeight w:val="560"/>
        </w:trPr>
        <w:tc>
          <w:tcPr>
            <w:tcW w:w="700" w:type="dxa"/>
            <w:tcMar>
              <w:top w:w="0" w:type="dxa"/>
              <w:bottom w:w="0" w:type="dxa"/>
            </w:tcMar>
            <w:vAlign w:val="center"/>
          </w:tcPr>
          <w:p w:rsidR="00AF38BA" w:rsidRDefault="006B7671">
            <w:pPr>
              <w:keepNext/>
              <w:keepLines/>
              <w:spacing w:after="0" w:line="240" w:lineRule="auto"/>
            </w:pPr>
            <w:r>
              <w:rPr>
                <w:sz w:val="18"/>
              </w:rPr>
              <w:t>5</w:t>
            </w:r>
          </w:p>
        </w:tc>
        <w:tc>
          <w:tcPr>
            <w:tcW w:w="3180" w:type="dxa"/>
            <w:tcMar>
              <w:top w:w="0" w:type="dxa"/>
              <w:bottom w:w="0" w:type="dxa"/>
            </w:tcMar>
            <w:vAlign w:val="center"/>
          </w:tcPr>
          <w:p w:rsidR="00AF38BA" w:rsidRDefault="006B7671">
            <w:pPr>
              <w:keepNext/>
              <w:keepLines/>
              <w:spacing w:after="0" w:line="240" w:lineRule="auto"/>
            </w:pPr>
            <w:r>
              <w:rPr>
                <w:sz w:val="18"/>
              </w:rPr>
              <w:t>Izdaci za financijsku imovinu i otplate zajmova (šifre 51+52+53+54+55)</w:t>
            </w:r>
          </w:p>
        </w:tc>
        <w:tc>
          <w:tcPr>
            <w:tcW w:w="700" w:type="dxa"/>
            <w:tcMar>
              <w:top w:w="0" w:type="dxa"/>
              <w:bottom w:w="0" w:type="dxa"/>
            </w:tcMar>
            <w:vAlign w:val="center"/>
          </w:tcPr>
          <w:p w:rsidR="00AF38BA" w:rsidRDefault="006B7671">
            <w:pPr>
              <w:keepNext/>
              <w:keepLines/>
              <w:spacing w:after="0" w:line="240" w:lineRule="auto"/>
            </w:pPr>
            <w:r>
              <w:rPr>
                <w:sz w:val="18"/>
              </w:rPr>
              <w:t>5</w:t>
            </w:r>
          </w:p>
        </w:tc>
        <w:tc>
          <w:tcPr>
            <w:tcW w:w="1860" w:type="dxa"/>
            <w:tcMar>
              <w:top w:w="0" w:type="dxa"/>
              <w:bottom w:w="0" w:type="dxa"/>
            </w:tcMar>
            <w:vAlign w:val="center"/>
          </w:tcPr>
          <w:p w:rsidR="00AF38BA" w:rsidRDefault="006B7671">
            <w:pPr>
              <w:keepNext/>
              <w:keepLines/>
              <w:spacing w:after="0" w:line="240" w:lineRule="auto"/>
              <w:jc w:val="right"/>
            </w:pPr>
            <w:r>
              <w:rPr>
                <w:sz w:val="18"/>
              </w:rPr>
              <w:t>356.229,12</w:t>
            </w:r>
          </w:p>
        </w:tc>
        <w:tc>
          <w:tcPr>
            <w:tcW w:w="1860" w:type="dxa"/>
            <w:tcMar>
              <w:top w:w="0" w:type="dxa"/>
              <w:bottom w:w="0" w:type="dxa"/>
            </w:tcMar>
            <w:vAlign w:val="center"/>
          </w:tcPr>
          <w:p w:rsidR="00AF38BA" w:rsidRDefault="006B7671">
            <w:pPr>
              <w:keepNext/>
              <w:keepLines/>
              <w:spacing w:after="0" w:line="240" w:lineRule="auto"/>
              <w:jc w:val="right"/>
            </w:pPr>
            <w:r>
              <w:rPr>
                <w:sz w:val="18"/>
              </w:rPr>
              <w:t>227.543,31</w:t>
            </w:r>
          </w:p>
        </w:tc>
        <w:tc>
          <w:tcPr>
            <w:tcW w:w="700" w:type="dxa"/>
            <w:tcMar>
              <w:top w:w="0" w:type="dxa"/>
              <w:bottom w:w="0" w:type="dxa"/>
            </w:tcMar>
            <w:vAlign w:val="center"/>
          </w:tcPr>
          <w:p w:rsidR="00AF38BA" w:rsidRDefault="006B7671">
            <w:pPr>
              <w:keepNext/>
              <w:keepLines/>
              <w:spacing w:after="0" w:line="240" w:lineRule="auto"/>
              <w:jc w:val="right"/>
            </w:pPr>
            <w:r>
              <w:rPr>
                <w:sz w:val="18"/>
              </w:rPr>
              <w:t>63,9</w:t>
            </w:r>
          </w:p>
        </w:tc>
      </w:tr>
      <w:tr w:rsidR="00AF38BA">
        <w:trPr>
          <w:cantSplit/>
          <w:trHeight w:val="560"/>
        </w:trPr>
        <w:tc>
          <w:tcPr>
            <w:tcW w:w="700" w:type="dxa"/>
            <w:tcMar>
              <w:top w:w="0" w:type="dxa"/>
              <w:bottom w:w="0" w:type="dxa"/>
            </w:tcMar>
            <w:vAlign w:val="center"/>
          </w:tcPr>
          <w:p w:rsidR="00AF38BA" w:rsidRDefault="00AF38BA">
            <w:pPr>
              <w:keepNext/>
              <w:keepLines/>
              <w:spacing w:after="0" w:line="240" w:lineRule="auto"/>
            </w:pPr>
          </w:p>
        </w:tc>
        <w:tc>
          <w:tcPr>
            <w:tcW w:w="3180" w:type="dxa"/>
            <w:tcMar>
              <w:top w:w="0" w:type="dxa"/>
              <w:bottom w:w="0" w:type="dxa"/>
            </w:tcMar>
            <w:vAlign w:val="center"/>
          </w:tcPr>
          <w:p w:rsidR="00AF38BA" w:rsidRDefault="006B7671">
            <w:pPr>
              <w:keepNext/>
              <w:keepLines/>
              <w:spacing w:after="0" w:line="240" w:lineRule="auto"/>
            </w:pPr>
            <w:r>
              <w:rPr>
                <w:b/>
                <w:sz w:val="18"/>
              </w:rPr>
              <w:t>VIŠAK PRIMITAKA OD FINANCIJSKE IMOVINE I ZADUŽIVANJA (šifre 8-5)</w:t>
            </w:r>
          </w:p>
        </w:tc>
        <w:tc>
          <w:tcPr>
            <w:tcW w:w="700" w:type="dxa"/>
            <w:tcMar>
              <w:top w:w="0" w:type="dxa"/>
              <w:bottom w:w="0" w:type="dxa"/>
            </w:tcMar>
            <w:vAlign w:val="center"/>
          </w:tcPr>
          <w:p w:rsidR="00AF38BA" w:rsidRDefault="006B7671">
            <w:pPr>
              <w:keepNext/>
              <w:keepLines/>
              <w:spacing w:after="0" w:line="240" w:lineRule="auto"/>
            </w:pPr>
            <w:r>
              <w:rPr>
                <w:b/>
                <w:sz w:val="18"/>
              </w:rPr>
              <w:t>X003</w:t>
            </w:r>
          </w:p>
        </w:tc>
        <w:tc>
          <w:tcPr>
            <w:tcW w:w="1860" w:type="dxa"/>
            <w:tcMar>
              <w:top w:w="0" w:type="dxa"/>
              <w:bottom w:w="0" w:type="dxa"/>
            </w:tcMar>
            <w:vAlign w:val="center"/>
          </w:tcPr>
          <w:p w:rsidR="00AF38BA" w:rsidRDefault="006B7671">
            <w:pPr>
              <w:keepNext/>
              <w:keepLines/>
              <w:spacing w:after="0" w:line="240" w:lineRule="auto"/>
              <w:jc w:val="right"/>
            </w:pPr>
            <w:r>
              <w:rPr>
                <w:b/>
                <w:sz w:val="18"/>
              </w:rPr>
              <w:t>0,00</w:t>
            </w:r>
          </w:p>
        </w:tc>
        <w:tc>
          <w:tcPr>
            <w:tcW w:w="1860" w:type="dxa"/>
            <w:tcMar>
              <w:top w:w="0" w:type="dxa"/>
              <w:bottom w:w="0" w:type="dxa"/>
            </w:tcMar>
            <w:vAlign w:val="center"/>
          </w:tcPr>
          <w:p w:rsidR="00AF38BA" w:rsidRDefault="006B7671">
            <w:pPr>
              <w:keepNext/>
              <w:keepLines/>
              <w:spacing w:after="0" w:line="240" w:lineRule="auto"/>
              <w:jc w:val="right"/>
            </w:pPr>
            <w:r>
              <w:rPr>
                <w:b/>
                <w:sz w:val="18"/>
              </w:rPr>
              <w:t>1.092.363,30</w:t>
            </w:r>
          </w:p>
        </w:tc>
        <w:tc>
          <w:tcPr>
            <w:tcW w:w="700" w:type="dxa"/>
            <w:tcMar>
              <w:top w:w="0" w:type="dxa"/>
              <w:bottom w:w="0" w:type="dxa"/>
            </w:tcMar>
            <w:vAlign w:val="center"/>
          </w:tcPr>
          <w:p w:rsidR="00AF38BA" w:rsidRDefault="006B7671">
            <w:pPr>
              <w:keepNext/>
              <w:keepLines/>
              <w:spacing w:after="0" w:line="240" w:lineRule="auto"/>
              <w:jc w:val="right"/>
            </w:pPr>
            <w:r>
              <w:rPr>
                <w:b/>
                <w:sz w:val="18"/>
              </w:rPr>
              <w:t>-</w:t>
            </w:r>
          </w:p>
        </w:tc>
      </w:tr>
      <w:tr w:rsidR="00AF38BA">
        <w:trPr>
          <w:cantSplit/>
          <w:trHeight w:val="560"/>
        </w:trPr>
        <w:tc>
          <w:tcPr>
            <w:tcW w:w="700" w:type="dxa"/>
            <w:tcMar>
              <w:top w:w="0" w:type="dxa"/>
              <w:bottom w:w="0" w:type="dxa"/>
            </w:tcMar>
            <w:vAlign w:val="center"/>
          </w:tcPr>
          <w:p w:rsidR="00AF38BA" w:rsidRDefault="00AF38BA">
            <w:pPr>
              <w:keepNext/>
              <w:keepLines/>
              <w:spacing w:after="0" w:line="240" w:lineRule="auto"/>
            </w:pPr>
          </w:p>
        </w:tc>
        <w:tc>
          <w:tcPr>
            <w:tcW w:w="3180" w:type="dxa"/>
            <w:tcMar>
              <w:top w:w="0" w:type="dxa"/>
              <w:bottom w:w="0" w:type="dxa"/>
            </w:tcMar>
            <w:vAlign w:val="center"/>
          </w:tcPr>
          <w:p w:rsidR="00AF38BA" w:rsidRDefault="006B7671">
            <w:pPr>
              <w:keepNext/>
              <w:keepLines/>
              <w:spacing w:after="0" w:line="240" w:lineRule="auto"/>
            </w:pPr>
            <w:r>
              <w:rPr>
                <w:b/>
                <w:sz w:val="18"/>
              </w:rPr>
              <w:t>VIŠAK PRIHODA I PRIMITAKA (šifre X678-Y345)</w:t>
            </w:r>
          </w:p>
        </w:tc>
        <w:tc>
          <w:tcPr>
            <w:tcW w:w="700" w:type="dxa"/>
            <w:tcMar>
              <w:top w:w="0" w:type="dxa"/>
              <w:bottom w:w="0" w:type="dxa"/>
            </w:tcMar>
            <w:vAlign w:val="center"/>
          </w:tcPr>
          <w:p w:rsidR="00AF38BA" w:rsidRDefault="006B7671">
            <w:pPr>
              <w:keepNext/>
              <w:keepLines/>
              <w:spacing w:after="0" w:line="240" w:lineRule="auto"/>
            </w:pPr>
            <w:r>
              <w:rPr>
                <w:b/>
                <w:sz w:val="18"/>
              </w:rPr>
              <w:t>X005</w:t>
            </w:r>
          </w:p>
        </w:tc>
        <w:tc>
          <w:tcPr>
            <w:tcW w:w="1860" w:type="dxa"/>
            <w:tcMar>
              <w:top w:w="0" w:type="dxa"/>
              <w:bottom w:w="0" w:type="dxa"/>
            </w:tcMar>
            <w:vAlign w:val="center"/>
          </w:tcPr>
          <w:p w:rsidR="00AF38BA" w:rsidRDefault="006B7671">
            <w:pPr>
              <w:keepNext/>
              <w:keepLines/>
              <w:spacing w:after="0" w:line="240" w:lineRule="auto"/>
              <w:jc w:val="right"/>
            </w:pPr>
            <w:r>
              <w:rPr>
                <w:b/>
                <w:sz w:val="18"/>
              </w:rPr>
              <w:t>9.435.472,06</w:t>
            </w:r>
          </w:p>
        </w:tc>
        <w:tc>
          <w:tcPr>
            <w:tcW w:w="1860" w:type="dxa"/>
            <w:tcMar>
              <w:top w:w="0" w:type="dxa"/>
              <w:bottom w:w="0" w:type="dxa"/>
            </w:tcMar>
            <w:vAlign w:val="center"/>
          </w:tcPr>
          <w:p w:rsidR="00AF38BA" w:rsidRDefault="006B7671">
            <w:pPr>
              <w:keepNext/>
              <w:keepLines/>
              <w:spacing w:after="0" w:line="240" w:lineRule="auto"/>
              <w:jc w:val="right"/>
            </w:pPr>
            <w:r>
              <w:rPr>
                <w:b/>
                <w:sz w:val="18"/>
              </w:rPr>
              <w:t>1.190.138,89</w:t>
            </w:r>
          </w:p>
        </w:tc>
        <w:tc>
          <w:tcPr>
            <w:tcW w:w="700" w:type="dxa"/>
            <w:tcMar>
              <w:top w:w="0" w:type="dxa"/>
              <w:bottom w:w="0" w:type="dxa"/>
            </w:tcMar>
            <w:vAlign w:val="center"/>
          </w:tcPr>
          <w:p w:rsidR="00AF38BA" w:rsidRDefault="006B7671">
            <w:pPr>
              <w:keepNext/>
              <w:keepLines/>
              <w:spacing w:after="0" w:line="240" w:lineRule="auto"/>
              <w:jc w:val="right"/>
            </w:pPr>
            <w:r>
              <w:rPr>
                <w:b/>
                <w:sz w:val="18"/>
              </w:rPr>
              <w:t>12,6</w:t>
            </w:r>
          </w:p>
        </w:tc>
      </w:tr>
    </w:tbl>
    <w:p w:rsidR="00AF38BA" w:rsidRDefault="00AF38BA">
      <w:pPr>
        <w:spacing w:after="0"/>
      </w:pPr>
    </w:p>
    <w:p w:rsidR="00AF38BA" w:rsidRDefault="006B7671" w:rsidP="00187140">
      <w:pPr>
        <w:jc w:val="both"/>
      </w:pPr>
      <w:r>
        <w:t xml:space="preserve">Prihodi poslovanja Primorsko-goranske županije u razdoblju od 01. siječnja do 31. prosinca 2025. godine iznose 97.533.778,43 eura, što je za 18,1% više u odnosu na isto razdoblje prethodne godine kada su iznosili 82.594.561,61 eura. Najznačajnije povećanje prihoda poslovanja ostvareno je kod prihoda od naplaćenog poreza na dohodak te poreza na nekretnine. Rashodi poslovanja u izvještajnom razdoblju ostvareni su, s druge strane, s rastom od 28,6% odnosno u iznosu od 92.070.561,90 eura, dok su u istom razdoblju prethodne godine iznosili 71.598.360,34 eura. Najznačajnije povećanje rashoda poslovanja evidentirano je na rashodima </w:t>
      </w:r>
      <w:r>
        <w:lastRenderedPageBreak/>
        <w:t>za zaposlene uslijed povećanja plaća. Navedeno je rezultiralo smanjenjem viška prihoda poslovanja za 50,3% u odnosu na prethodno izvještajno razdoblje.  </w:t>
      </w:r>
    </w:p>
    <w:p w:rsidR="00AF38BA" w:rsidRDefault="006B7671" w:rsidP="00187140">
      <w:pPr>
        <w:jc w:val="both"/>
      </w:pPr>
      <w:r>
        <w:t>   </w:t>
      </w:r>
    </w:p>
    <w:p w:rsidR="00AF38BA" w:rsidRDefault="006B7671" w:rsidP="00187140">
      <w:pPr>
        <w:jc w:val="both"/>
      </w:pPr>
      <w:r>
        <w:t xml:space="preserve">Prihodi od prodaje nefinancijske imovine Županije u izvještajnom razdoblju tekuće godine iznose 192.951,84 eura, što je za 514,7% više u odnosu na isto razdoblje prethodne godine kada su iznosili 31.389,77 eura. Najznačajnije povećanje prihoda ostvareno je od prodaje nekretnina u ime i za račun Republike Hrvatske temeljem Zakona o upravljanju nekretninama i pokretninama u vlasništvu Republike Hrvatske. Dok su rashodi za nabavu nefinancijske imovine u 2025. godini ostvareni u iznosu od 5.558.392,78 eura, što je za 349,7% više u odnosu na izvještajno razdoblje prethodne godine kada su iznosili 1.235.889,86 eura. Najznačajnije povećanje predmetnih rashoda ostvareno je u okviru kapitalnog projekta Zdravstveni centar </w:t>
      </w:r>
      <w:proofErr w:type="spellStart"/>
      <w:r>
        <w:t>Rujevica</w:t>
      </w:r>
      <w:proofErr w:type="spellEnd"/>
      <w:r>
        <w:t xml:space="preserve"> – Zapad. Slijedom navedenog, manjak prihoda od nefinancijske imovine tekuće godine veći je za 345,4% u odnosu na ostvarenje u istom razdoblju prethodne godine.     </w:t>
      </w:r>
    </w:p>
    <w:p w:rsidR="00AF38BA" w:rsidRDefault="006B7671" w:rsidP="00187140">
      <w:pPr>
        <w:jc w:val="both"/>
      </w:pPr>
      <w:r>
        <w:t> </w:t>
      </w:r>
    </w:p>
    <w:p w:rsidR="00AF38BA" w:rsidRDefault="006B7671" w:rsidP="00187140">
      <w:pPr>
        <w:jc w:val="both"/>
      </w:pPr>
      <w:r>
        <w:t xml:space="preserve">Primici od financijske imovine i zaduživanja u izvještajnom razdoblju 2025. godine iznose 1.319.906,61 eura, a odnose se na korištenje sredstava kredita temeljem sklopljenog Ugovora o dugoročnom kreditu sa Hrvatskom bankom za obnovu i razvitak za realizaciju kapitalnog projekta Zdravstveni centar </w:t>
      </w:r>
      <w:proofErr w:type="spellStart"/>
      <w:r>
        <w:t>Rujevica</w:t>
      </w:r>
      <w:proofErr w:type="spellEnd"/>
      <w:r>
        <w:t xml:space="preserve"> – Zapad, dok u istom razdoblju prethodne godine nisu ostvareni. Izdaci za financijsku imovinu i otplate zajmova u izvještajnom razdoblju tekuće godine iznose 227.543,31 eura i manji su za 36,1% u odnosu na izdatke ostvarene prethodne godine, stoga je u izvještajnom razdoblju tekuće godine ostvaren višak primitaka od financijske imovine i zaduživanja u iznosu od 1.092.363,30 eura.    </w:t>
      </w:r>
    </w:p>
    <w:p w:rsidR="00AF38BA" w:rsidRDefault="006B7671" w:rsidP="00187140">
      <w:pPr>
        <w:jc w:val="both"/>
      </w:pPr>
      <w:r>
        <w:t> </w:t>
      </w:r>
    </w:p>
    <w:p w:rsidR="00AF38BA" w:rsidRDefault="006B7671" w:rsidP="00187140">
      <w:pPr>
        <w:jc w:val="both"/>
      </w:pPr>
      <w:r>
        <w:t>Sve navedeno je rezultiralo smanjenjem rezultata poslovanja Županije u izvještajnom razdoblju tekuće godine za 87,4% u odnosu na prethodnu godinu, sa 9.435.472,06 eura na 1.190.138,89 eura.</w:t>
      </w:r>
    </w:p>
    <w:p w:rsidR="00AF38BA" w:rsidRDefault="006B7671">
      <w:r>
        <w:br/>
      </w:r>
    </w:p>
    <w:p w:rsidR="00AF38BA" w:rsidRDefault="006B7671">
      <w:pPr>
        <w:keepNext/>
        <w:spacing w:line="240" w:lineRule="auto"/>
        <w:jc w:val="center"/>
      </w:pPr>
      <w:r>
        <w:rPr>
          <w:sz w:val="28"/>
        </w:rPr>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F38BA">
        <w:trPr>
          <w:cantSplit/>
        </w:trPr>
        <w:tc>
          <w:tcPr>
            <w:tcW w:w="700" w:type="dxa"/>
            <w:shd w:val="clear" w:color="auto" w:fill="E7F0F9"/>
            <w:tcMar>
              <w:top w:w="0" w:type="dxa"/>
              <w:bottom w:w="0" w:type="dxa"/>
            </w:tcMar>
            <w:vAlign w:val="center"/>
          </w:tcPr>
          <w:p w:rsidR="00AF38BA" w:rsidRDefault="006B767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AF38BA" w:rsidRDefault="006B767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F38BA" w:rsidRDefault="006B767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F38BA" w:rsidRDefault="006B767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AF38BA" w:rsidRDefault="006B767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AF38BA" w:rsidRDefault="006B7671">
            <w:pPr>
              <w:keepNext/>
              <w:keepLines/>
              <w:spacing w:after="0" w:line="240" w:lineRule="auto"/>
              <w:jc w:val="center"/>
            </w:pPr>
            <w:r>
              <w:rPr>
                <w:b/>
                <w:sz w:val="18"/>
              </w:rPr>
              <w:t>Indeks (%)</w:t>
            </w:r>
          </w:p>
        </w:tc>
      </w:tr>
      <w:tr w:rsidR="00AF38BA">
        <w:trPr>
          <w:cantSplit/>
          <w:trHeight w:val="560"/>
        </w:trPr>
        <w:tc>
          <w:tcPr>
            <w:tcW w:w="700" w:type="dxa"/>
            <w:tcMar>
              <w:top w:w="0" w:type="dxa"/>
              <w:bottom w:w="0" w:type="dxa"/>
            </w:tcMar>
            <w:vAlign w:val="center"/>
          </w:tcPr>
          <w:p w:rsidR="00AF38BA" w:rsidRDefault="006B7671">
            <w:pPr>
              <w:keepNext/>
              <w:keepLines/>
              <w:spacing w:after="0" w:line="240" w:lineRule="auto"/>
            </w:pPr>
            <w:r>
              <w:rPr>
                <w:sz w:val="18"/>
              </w:rPr>
              <w:t>611</w:t>
            </w:r>
          </w:p>
        </w:tc>
        <w:tc>
          <w:tcPr>
            <w:tcW w:w="3180" w:type="dxa"/>
            <w:tcMar>
              <w:top w:w="0" w:type="dxa"/>
              <w:bottom w:w="0" w:type="dxa"/>
            </w:tcMar>
            <w:vAlign w:val="center"/>
          </w:tcPr>
          <w:p w:rsidR="00AF38BA" w:rsidRDefault="006B7671">
            <w:pPr>
              <w:keepNext/>
              <w:keepLines/>
              <w:spacing w:after="0" w:line="240" w:lineRule="auto"/>
            </w:pPr>
            <w:r>
              <w:rPr>
                <w:sz w:val="18"/>
              </w:rPr>
              <w:t>Porez na dohodak (šifre 6111 do 6116 - 6117 - 6119)</w:t>
            </w:r>
          </w:p>
        </w:tc>
        <w:tc>
          <w:tcPr>
            <w:tcW w:w="700" w:type="dxa"/>
            <w:tcMar>
              <w:top w:w="0" w:type="dxa"/>
              <w:bottom w:w="0" w:type="dxa"/>
            </w:tcMar>
            <w:vAlign w:val="center"/>
          </w:tcPr>
          <w:p w:rsidR="00AF38BA" w:rsidRDefault="006B7671">
            <w:pPr>
              <w:keepNext/>
              <w:keepLines/>
              <w:spacing w:after="0" w:line="240" w:lineRule="auto"/>
            </w:pPr>
            <w:r>
              <w:rPr>
                <w:sz w:val="18"/>
              </w:rPr>
              <w:t>611</w:t>
            </w:r>
          </w:p>
        </w:tc>
        <w:tc>
          <w:tcPr>
            <w:tcW w:w="1860" w:type="dxa"/>
            <w:tcMar>
              <w:top w:w="0" w:type="dxa"/>
              <w:bottom w:w="0" w:type="dxa"/>
            </w:tcMar>
            <w:vAlign w:val="center"/>
          </w:tcPr>
          <w:p w:rsidR="00AF38BA" w:rsidRDefault="006B7671">
            <w:pPr>
              <w:keepNext/>
              <w:keepLines/>
              <w:spacing w:after="0" w:line="240" w:lineRule="auto"/>
              <w:jc w:val="right"/>
            </w:pPr>
            <w:r>
              <w:rPr>
                <w:sz w:val="18"/>
              </w:rPr>
              <w:t>61.416.568,14</w:t>
            </w:r>
          </w:p>
        </w:tc>
        <w:tc>
          <w:tcPr>
            <w:tcW w:w="1860" w:type="dxa"/>
            <w:tcMar>
              <w:top w:w="0" w:type="dxa"/>
              <w:bottom w:w="0" w:type="dxa"/>
            </w:tcMar>
            <w:vAlign w:val="center"/>
          </w:tcPr>
          <w:p w:rsidR="00AF38BA" w:rsidRDefault="006B7671">
            <w:pPr>
              <w:keepNext/>
              <w:keepLines/>
              <w:spacing w:after="0" w:line="240" w:lineRule="auto"/>
              <w:jc w:val="right"/>
            </w:pPr>
            <w:r>
              <w:rPr>
                <w:sz w:val="18"/>
              </w:rPr>
              <w:t>72.550.084,95</w:t>
            </w:r>
          </w:p>
        </w:tc>
        <w:tc>
          <w:tcPr>
            <w:tcW w:w="700" w:type="dxa"/>
            <w:tcMar>
              <w:top w:w="0" w:type="dxa"/>
              <w:bottom w:w="0" w:type="dxa"/>
            </w:tcMar>
            <w:vAlign w:val="center"/>
          </w:tcPr>
          <w:p w:rsidR="00AF38BA" w:rsidRDefault="006B7671">
            <w:pPr>
              <w:keepNext/>
              <w:keepLines/>
              <w:spacing w:after="0" w:line="240" w:lineRule="auto"/>
              <w:jc w:val="right"/>
            </w:pPr>
            <w:r>
              <w:rPr>
                <w:sz w:val="18"/>
              </w:rPr>
              <w:t>118,1</w:t>
            </w:r>
          </w:p>
        </w:tc>
      </w:tr>
    </w:tbl>
    <w:p w:rsidR="00AF38BA" w:rsidRDefault="00AF38BA">
      <w:pPr>
        <w:spacing w:after="0"/>
      </w:pPr>
    </w:p>
    <w:p w:rsidR="00AF38BA" w:rsidRDefault="006B7671" w:rsidP="00187140">
      <w:pPr>
        <w:jc w:val="both"/>
      </w:pPr>
      <w:r>
        <w:t>Povećanje naplate poreza na dohodak u izvještajnom razdoblju 2025. godine nastavak je trenda iz prethodne četiri godine, što je posljedica gospodarskog rasta i povećanja zaposlenosti, odnosno inflatornih pritisaka na rast plaća.</w:t>
      </w:r>
    </w:p>
    <w:p w:rsidR="00AF38BA" w:rsidRDefault="00AF38BA"/>
    <w:p w:rsidR="00AF38BA" w:rsidRDefault="006B7671">
      <w:pPr>
        <w:keepNext/>
        <w:spacing w:line="240" w:lineRule="auto"/>
        <w:jc w:val="center"/>
      </w:pPr>
      <w:r>
        <w:rPr>
          <w:sz w:val="28"/>
        </w:rPr>
        <w:lastRenderedPageBreak/>
        <w:t>Bilješka 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F38BA">
        <w:trPr>
          <w:cantSplit/>
        </w:trPr>
        <w:tc>
          <w:tcPr>
            <w:tcW w:w="700" w:type="dxa"/>
            <w:shd w:val="clear" w:color="auto" w:fill="E7F0F9"/>
            <w:tcMar>
              <w:top w:w="0" w:type="dxa"/>
              <w:bottom w:w="0" w:type="dxa"/>
            </w:tcMar>
            <w:vAlign w:val="center"/>
          </w:tcPr>
          <w:p w:rsidR="00AF38BA" w:rsidRDefault="006B767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AF38BA" w:rsidRDefault="006B767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F38BA" w:rsidRDefault="006B767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F38BA" w:rsidRDefault="006B767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AF38BA" w:rsidRDefault="006B767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AF38BA" w:rsidRDefault="006B7671">
            <w:pPr>
              <w:keepNext/>
              <w:keepLines/>
              <w:spacing w:after="0" w:line="240" w:lineRule="auto"/>
              <w:jc w:val="center"/>
            </w:pPr>
            <w:r>
              <w:rPr>
                <w:b/>
                <w:sz w:val="18"/>
              </w:rPr>
              <w:t>Indeks (%)</w:t>
            </w:r>
          </w:p>
        </w:tc>
      </w:tr>
      <w:tr w:rsidR="00AF38BA">
        <w:trPr>
          <w:cantSplit/>
          <w:trHeight w:val="560"/>
        </w:trPr>
        <w:tc>
          <w:tcPr>
            <w:tcW w:w="700" w:type="dxa"/>
            <w:tcMar>
              <w:top w:w="0" w:type="dxa"/>
              <w:bottom w:w="0" w:type="dxa"/>
            </w:tcMar>
            <w:vAlign w:val="center"/>
          </w:tcPr>
          <w:p w:rsidR="00AF38BA" w:rsidRDefault="006B7671">
            <w:pPr>
              <w:keepNext/>
              <w:keepLines/>
              <w:spacing w:after="0" w:line="240" w:lineRule="auto"/>
            </w:pPr>
            <w:r>
              <w:rPr>
                <w:sz w:val="18"/>
              </w:rPr>
              <w:t>6131</w:t>
            </w:r>
          </w:p>
        </w:tc>
        <w:tc>
          <w:tcPr>
            <w:tcW w:w="3180" w:type="dxa"/>
            <w:tcMar>
              <w:top w:w="0" w:type="dxa"/>
              <w:bottom w:w="0" w:type="dxa"/>
            </w:tcMar>
            <w:vAlign w:val="center"/>
          </w:tcPr>
          <w:p w:rsidR="00AF38BA" w:rsidRDefault="006B7671">
            <w:pPr>
              <w:keepNext/>
              <w:keepLines/>
              <w:spacing w:after="0" w:line="240" w:lineRule="auto"/>
            </w:pPr>
            <w:r>
              <w:rPr>
                <w:sz w:val="18"/>
              </w:rPr>
              <w:t>Stalni porezi na nepokretnu imovinu (zemlju, zgrade, kuće i ostalo)</w:t>
            </w:r>
          </w:p>
        </w:tc>
        <w:tc>
          <w:tcPr>
            <w:tcW w:w="700" w:type="dxa"/>
            <w:tcMar>
              <w:top w:w="0" w:type="dxa"/>
              <w:bottom w:w="0" w:type="dxa"/>
            </w:tcMar>
            <w:vAlign w:val="center"/>
          </w:tcPr>
          <w:p w:rsidR="00AF38BA" w:rsidRDefault="006B7671">
            <w:pPr>
              <w:keepNext/>
              <w:keepLines/>
              <w:spacing w:after="0" w:line="240" w:lineRule="auto"/>
            </w:pPr>
            <w:r>
              <w:rPr>
                <w:sz w:val="18"/>
              </w:rPr>
              <w:t>6131</w:t>
            </w:r>
          </w:p>
        </w:tc>
        <w:tc>
          <w:tcPr>
            <w:tcW w:w="1860" w:type="dxa"/>
            <w:tcMar>
              <w:top w:w="0" w:type="dxa"/>
              <w:bottom w:w="0" w:type="dxa"/>
            </w:tcMar>
            <w:vAlign w:val="center"/>
          </w:tcPr>
          <w:p w:rsidR="00AF38BA" w:rsidRDefault="006B7671">
            <w:pPr>
              <w:keepNext/>
              <w:keepLines/>
              <w:spacing w:after="0" w:line="240" w:lineRule="auto"/>
              <w:jc w:val="right"/>
            </w:pPr>
            <w:r>
              <w:rPr>
                <w:sz w:val="18"/>
              </w:rPr>
              <w:t>0,00</w:t>
            </w:r>
          </w:p>
        </w:tc>
        <w:tc>
          <w:tcPr>
            <w:tcW w:w="1860" w:type="dxa"/>
            <w:tcMar>
              <w:top w:w="0" w:type="dxa"/>
              <w:bottom w:w="0" w:type="dxa"/>
            </w:tcMar>
            <w:vAlign w:val="center"/>
          </w:tcPr>
          <w:p w:rsidR="00AF38BA" w:rsidRDefault="006B7671">
            <w:pPr>
              <w:keepNext/>
              <w:keepLines/>
              <w:spacing w:after="0" w:line="240" w:lineRule="auto"/>
              <w:jc w:val="right"/>
            </w:pPr>
            <w:r>
              <w:rPr>
                <w:sz w:val="18"/>
              </w:rPr>
              <w:t>2.105.624,11</w:t>
            </w:r>
          </w:p>
        </w:tc>
        <w:tc>
          <w:tcPr>
            <w:tcW w:w="700" w:type="dxa"/>
            <w:tcMar>
              <w:top w:w="0" w:type="dxa"/>
              <w:bottom w:w="0" w:type="dxa"/>
            </w:tcMar>
            <w:vAlign w:val="center"/>
          </w:tcPr>
          <w:p w:rsidR="00AF38BA" w:rsidRDefault="006B7671">
            <w:pPr>
              <w:keepNext/>
              <w:keepLines/>
              <w:spacing w:after="0" w:line="240" w:lineRule="auto"/>
              <w:jc w:val="right"/>
            </w:pPr>
            <w:r>
              <w:rPr>
                <w:sz w:val="18"/>
              </w:rPr>
              <w:t>-</w:t>
            </w:r>
          </w:p>
        </w:tc>
      </w:tr>
    </w:tbl>
    <w:p w:rsidR="00AF38BA" w:rsidRDefault="00AF38BA">
      <w:pPr>
        <w:spacing w:after="0"/>
      </w:pPr>
    </w:p>
    <w:p w:rsidR="00AF38BA" w:rsidRDefault="006B7671" w:rsidP="00187140">
      <w:pPr>
        <w:jc w:val="both"/>
      </w:pPr>
      <w:r>
        <w:t>Navedeno je prihod ostvaren od poreza na nekretnine, koji se utvrđuje temeljem Zakona o lokalnim porezima („Narodne novine“ broj 115/2016, 101/2017, 114/2022, 114/2023 i 152/2024)  te odlukama o gradskim i općinskim porezima, a uveden je 1. siječnja 2025. godine kao zamjena za porez na kuće za odmor. Sukladno članku 28. navedenog Zakona sredstva ostvarena od poreza na nekretnine prihod su jedinica lokalne samouprave 80% i 20% jedinica područne (regionalne) samouprave, na čijem se području nekretnina nalazi, dok su sredstva ostvarena od poreza na kuće za odmor u cijelosti bila prihod jedinica lokalne samouprave na čijem se području nekretnina nalazi.</w:t>
      </w:r>
    </w:p>
    <w:p w:rsidR="00AF38BA" w:rsidRDefault="00AF38BA"/>
    <w:p w:rsidR="00AF38BA" w:rsidRDefault="006B7671">
      <w:pPr>
        <w:keepNext/>
        <w:spacing w:line="240" w:lineRule="auto"/>
        <w:jc w:val="center"/>
      </w:pPr>
      <w:r>
        <w:rPr>
          <w:sz w:val="28"/>
        </w:rPr>
        <w:t>Bilješka 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F38BA">
        <w:trPr>
          <w:cantSplit/>
        </w:trPr>
        <w:tc>
          <w:tcPr>
            <w:tcW w:w="700" w:type="dxa"/>
            <w:shd w:val="clear" w:color="auto" w:fill="E7F0F9"/>
            <w:tcMar>
              <w:top w:w="0" w:type="dxa"/>
              <w:bottom w:w="0" w:type="dxa"/>
            </w:tcMar>
            <w:vAlign w:val="center"/>
          </w:tcPr>
          <w:p w:rsidR="00AF38BA" w:rsidRDefault="006B767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AF38BA" w:rsidRDefault="006B767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F38BA" w:rsidRDefault="006B767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F38BA" w:rsidRDefault="006B767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AF38BA" w:rsidRDefault="006B767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AF38BA" w:rsidRDefault="006B7671">
            <w:pPr>
              <w:keepNext/>
              <w:keepLines/>
              <w:spacing w:after="0" w:line="240" w:lineRule="auto"/>
              <w:jc w:val="center"/>
            </w:pPr>
            <w:r>
              <w:rPr>
                <w:b/>
                <w:sz w:val="18"/>
              </w:rPr>
              <w:t>Indeks (%)</w:t>
            </w:r>
          </w:p>
        </w:tc>
      </w:tr>
      <w:tr w:rsidR="00AF38BA">
        <w:trPr>
          <w:cantSplit/>
          <w:trHeight w:val="560"/>
        </w:trPr>
        <w:tc>
          <w:tcPr>
            <w:tcW w:w="700" w:type="dxa"/>
            <w:tcMar>
              <w:top w:w="0" w:type="dxa"/>
              <w:bottom w:w="0" w:type="dxa"/>
            </w:tcMar>
            <w:vAlign w:val="center"/>
          </w:tcPr>
          <w:p w:rsidR="00AF38BA" w:rsidRDefault="006B7671">
            <w:pPr>
              <w:keepNext/>
              <w:keepLines/>
              <w:spacing w:after="0" w:line="240" w:lineRule="auto"/>
            </w:pPr>
            <w:r>
              <w:rPr>
                <w:sz w:val="18"/>
              </w:rPr>
              <w:t>6145</w:t>
            </w:r>
          </w:p>
        </w:tc>
        <w:tc>
          <w:tcPr>
            <w:tcW w:w="3180" w:type="dxa"/>
            <w:tcMar>
              <w:top w:w="0" w:type="dxa"/>
              <w:bottom w:w="0" w:type="dxa"/>
            </w:tcMar>
            <w:vAlign w:val="center"/>
          </w:tcPr>
          <w:p w:rsidR="00AF38BA" w:rsidRDefault="006B7671">
            <w:pPr>
              <w:keepNext/>
              <w:keepLines/>
              <w:spacing w:after="0" w:line="240" w:lineRule="auto"/>
            </w:pPr>
            <w:r>
              <w:rPr>
                <w:sz w:val="18"/>
              </w:rPr>
              <w:t>Porezi na korištenje dobara ili izvođenje aktivnosti</w:t>
            </w:r>
          </w:p>
        </w:tc>
        <w:tc>
          <w:tcPr>
            <w:tcW w:w="700" w:type="dxa"/>
            <w:tcMar>
              <w:top w:w="0" w:type="dxa"/>
              <w:bottom w:w="0" w:type="dxa"/>
            </w:tcMar>
            <w:vAlign w:val="center"/>
          </w:tcPr>
          <w:p w:rsidR="00AF38BA" w:rsidRDefault="006B7671">
            <w:pPr>
              <w:keepNext/>
              <w:keepLines/>
              <w:spacing w:after="0" w:line="240" w:lineRule="auto"/>
            </w:pPr>
            <w:r>
              <w:rPr>
                <w:sz w:val="18"/>
              </w:rPr>
              <w:t>6145</w:t>
            </w:r>
          </w:p>
        </w:tc>
        <w:tc>
          <w:tcPr>
            <w:tcW w:w="1860" w:type="dxa"/>
            <w:tcMar>
              <w:top w:w="0" w:type="dxa"/>
              <w:bottom w:w="0" w:type="dxa"/>
            </w:tcMar>
            <w:vAlign w:val="center"/>
          </w:tcPr>
          <w:p w:rsidR="00AF38BA" w:rsidRDefault="006B7671">
            <w:pPr>
              <w:keepNext/>
              <w:keepLines/>
              <w:spacing w:after="0" w:line="240" w:lineRule="auto"/>
              <w:jc w:val="right"/>
            </w:pPr>
            <w:r>
              <w:rPr>
                <w:sz w:val="18"/>
              </w:rPr>
              <w:t>3.585.473,79</w:t>
            </w:r>
          </w:p>
        </w:tc>
        <w:tc>
          <w:tcPr>
            <w:tcW w:w="1860" w:type="dxa"/>
            <w:tcMar>
              <w:top w:w="0" w:type="dxa"/>
              <w:bottom w:w="0" w:type="dxa"/>
            </w:tcMar>
            <w:vAlign w:val="center"/>
          </w:tcPr>
          <w:p w:rsidR="00AF38BA" w:rsidRDefault="006B7671">
            <w:pPr>
              <w:keepNext/>
              <w:keepLines/>
              <w:spacing w:after="0" w:line="240" w:lineRule="auto"/>
              <w:jc w:val="right"/>
            </w:pPr>
            <w:r>
              <w:rPr>
                <w:sz w:val="18"/>
              </w:rPr>
              <w:t>3.961.203,78</w:t>
            </w:r>
          </w:p>
        </w:tc>
        <w:tc>
          <w:tcPr>
            <w:tcW w:w="700" w:type="dxa"/>
            <w:tcMar>
              <w:top w:w="0" w:type="dxa"/>
              <w:bottom w:w="0" w:type="dxa"/>
            </w:tcMar>
            <w:vAlign w:val="center"/>
          </w:tcPr>
          <w:p w:rsidR="00AF38BA" w:rsidRDefault="006B7671">
            <w:pPr>
              <w:keepNext/>
              <w:keepLines/>
              <w:spacing w:after="0" w:line="240" w:lineRule="auto"/>
              <w:jc w:val="right"/>
            </w:pPr>
            <w:r>
              <w:rPr>
                <w:sz w:val="18"/>
              </w:rPr>
              <w:t>110,5</w:t>
            </w:r>
          </w:p>
        </w:tc>
      </w:tr>
    </w:tbl>
    <w:p w:rsidR="00AF38BA" w:rsidRDefault="00AF38BA">
      <w:pPr>
        <w:spacing w:after="0"/>
      </w:pPr>
    </w:p>
    <w:p w:rsidR="00AF38BA" w:rsidRDefault="006B7671" w:rsidP="00187140">
      <w:pPr>
        <w:jc w:val="both"/>
      </w:pPr>
      <w:r>
        <w:t>Najveće odstupanje ostvareno je kod prihoda od poreza na cestovna motorna vozila koji se plaća pri registraciji vozila i županijski je porezni prihod, temeljem čl. 46. Zakona o lokalnim porezima („Narodne novine“ broj 115/2016, 101/2017, 114/2022, 114/2023 i 152/2024), a koji je u 2024. godini ostvaren u iznosu od 3.339.451,65 eura, a u 2025. godini 3.662.962,52 eura.</w:t>
      </w:r>
    </w:p>
    <w:p w:rsidR="00AF38BA" w:rsidRDefault="00AF38BA"/>
    <w:p w:rsidR="00AF38BA" w:rsidRDefault="006B7671">
      <w:pPr>
        <w:keepNext/>
        <w:spacing w:line="240" w:lineRule="auto"/>
        <w:jc w:val="center"/>
      </w:pPr>
      <w:r>
        <w:rPr>
          <w:sz w:val="28"/>
        </w:rPr>
        <w:t>Bilješka 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F38BA">
        <w:trPr>
          <w:cantSplit/>
        </w:trPr>
        <w:tc>
          <w:tcPr>
            <w:tcW w:w="700" w:type="dxa"/>
            <w:shd w:val="clear" w:color="auto" w:fill="E7F0F9"/>
            <w:tcMar>
              <w:top w:w="0" w:type="dxa"/>
              <w:bottom w:w="0" w:type="dxa"/>
            </w:tcMar>
            <w:vAlign w:val="center"/>
          </w:tcPr>
          <w:p w:rsidR="00AF38BA" w:rsidRDefault="006B767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AF38BA" w:rsidRDefault="006B767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F38BA" w:rsidRDefault="006B767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F38BA" w:rsidRDefault="006B767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AF38BA" w:rsidRDefault="006B767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AF38BA" w:rsidRDefault="006B7671">
            <w:pPr>
              <w:keepNext/>
              <w:keepLines/>
              <w:spacing w:after="0" w:line="240" w:lineRule="auto"/>
              <w:jc w:val="center"/>
            </w:pPr>
            <w:r>
              <w:rPr>
                <w:b/>
                <w:sz w:val="18"/>
              </w:rPr>
              <w:t>Indeks (%)</w:t>
            </w:r>
          </w:p>
        </w:tc>
      </w:tr>
      <w:tr w:rsidR="00AF38BA">
        <w:trPr>
          <w:cantSplit/>
          <w:trHeight w:val="560"/>
        </w:trPr>
        <w:tc>
          <w:tcPr>
            <w:tcW w:w="700" w:type="dxa"/>
            <w:tcMar>
              <w:top w:w="0" w:type="dxa"/>
              <w:bottom w:w="0" w:type="dxa"/>
            </w:tcMar>
            <w:vAlign w:val="center"/>
          </w:tcPr>
          <w:p w:rsidR="00AF38BA" w:rsidRDefault="006B7671">
            <w:pPr>
              <w:keepNext/>
              <w:keepLines/>
              <w:spacing w:after="0" w:line="240" w:lineRule="auto"/>
            </w:pPr>
            <w:r>
              <w:rPr>
                <w:sz w:val="18"/>
              </w:rPr>
              <w:t>6311</w:t>
            </w:r>
          </w:p>
        </w:tc>
        <w:tc>
          <w:tcPr>
            <w:tcW w:w="3180" w:type="dxa"/>
            <w:tcMar>
              <w:top w:w="0" w:type="dxa"/>
              <w:bottom w:w="0" w:type="dxa"/>
            </w:tcMar>
            <w:vAlign w:val="center"/>
          </w:tcPr>
          <w:p w:rsidR="00AF38BA" w:rsidRDefault="006B7671">
            <w:pPr>
              <w:keepNext/>
              <w:keepLines/>
              <w:spacing w:after="0" w:line="240" w:lineRule="auto"/>
            </w:pPr>
            <w:r>
              <w:rPr>
                <w:sz w:val="18"/>
              </w:rPr>
              <w:t>Tekuće pomoći od inozemnih vlada</w:t>
            </w:r>
          </w:p>
        </w:tc>
        <w:tc>
          <w:tcPr>
            <w:tcW w:w="700" w:type="dxa"/>
            <w:tcMar>
              <w:top w:w="0" w:type="dxa"/>
              <w:bottom w:w="0" w:type="dxa"/>
            </w:tcMar>
            <w:vAlign w:val="center"/>
          </w:tcPr>
          <w:p w:rsidR="00AF38BA" w:rsidRDefault="006B7671">
            <w:pPr>
              <w:keepNext/>
              <w:keepLines/>
              <w:spacing w:after="0" w:line="240" w:lineRule="auto"/>
            </w:pPr>
            <w:r>
              <w:rPr>
                <w:sz w:val="18"/>
              </w:rPr>
              <w:t>6311</w:t>
            </w:r>
          </w:p>
        </w:tc>
        <w:tc>
          <w:tcPr>
            <w:tcW w:w="1860" w:type="dxa"/>
            <w:tcMar>
              <w:top w:w="0" w:type="dxa"/>
              <w:bottom w:w="0" w:type="dxa"/>
            </w:tcMar>
            <w:vAlign w:val="center"/>
          </w:tcPr>
          <w:p w:rsidR="00AF38BA" w:rsidRDefault="006B7671">
            <w:pPr>
              <w:keepNext/>
              <w:keepLines/>
              <w:spacing w:after="0" w:line="240" w:lineRule="auto"/>
              <w:jc w:val="right"/>
            </w:pPr>
            <w:r>
              <w:rPr>
                <w:sz w:val="18"/>
              </w:rPr>
              <w:t>0,00</w:t>
            </w:r>
          </w:p>
        </w:tc>
        <w:tc>
          <w:tcPr>
            <w:tcW w:w="1860" w:type="dxa"/>
            <w:tcMar>
              <w:top w:w="0" w:type="dxa"/>
              <w:bottom w:w="0" w:type="dxa"/>
            </w:tcMar>
            <w:vAlign w:val="center"/>
          </w:tcPr>
          <w:p w:rsidR="00AF38BA" w:rsidRDefault="006B7671">
            <w:pPr>
              <w:keepNext/>
              <w:keepLines/>
              <w:spacing w:after="0" w:line="240" w:lineRule="auto"/>
              <w:jc w:val="right"/>
            </w:pPr>
            <w:r>
              <w:rPr>
                <w:sz w:val="18"/>
              </w:rPr>
              <w:t>793.787,97</w:t>
            </w:r>
          </w:p>
        </w:tc>
        <w:tc>
          <w:tcPr>
            <w:tcW w:w="700" w:type="dxa"/>
            <w:tcMar>
              <w:top w:w="0" w:type="dxa"/>
              <w:bottom w:w="0" w:type="dxa"/>
            </w:tcMar>
            <w:vAlign w:val="center"/>
          </w:tcPr>
          <w:p w:rsidR="00AF38BA" w:rsidRDefault="006B7671">
            <w:pPr>
              <w:keepNext/>
              <w:keepLines/>
              <w:spacing w:after="0" w:line="240" w:lineRule="auto"/>
              <w:jc w:val="right"/>
            </w:pPr>
            <w:r>
              <w:rPr>
                <w:sz w:val="18"/>
              </w:rPr>
              <w:t>-</w:t>
            </w:r>
          </w:p>
        </w:tc>
      </w:tr>
    </w:tbl>
    <w:p w:rsidR="00AF38BA" w:rsidRDefault="00AF38BA">
      <w:pPr>
        <w:spacing w:after="0"/>
      </w:pPr>
    </w:p>
    <w:p w:rsidR="00AF38BA" w:rsidRDefault="006B7671" w:rsidP="00187140">
      <w:pPr>
        <w:jc w:val="both"/>
      </w:pPr>
      <w:r>
        <w:t>Navedene pomoći u 2025. godini ostvarene su za provedbu četiri ugovorena programa i projekata EU, i na razini su prihoda ostvarenog u 2024. godini (715.576,19 eura). Međutim, u 2024. godini predmetni prihodi od pomoći za provedbu programa i projekata bili su evidentirani na računu 6323 Tekuće pomoći od institucija i tijela EU, dok se, sukladno novoj metodologiji za evidentiranje prihoda EU projekata, od 2025. godine predmetni prihod evidentira na računu 6311.</w:t>
      </w:r>
    </w:p>
    <w:p w:rsidR="00AF38BA" w:rsidRDefault="00AF38BA"/>
    <w:p w:rsidR="00AF38BA" w:rsidRDefault="006B7671">
      <w:pPr>
        <w:keepNext/>
        <w:spacing w:line="240" w:lineRule="auto"/>
        <w:jc w:val="center"/>
      </w:pPr>
      <w:r>
        <w:rPr>
          <w:sz w:val="28"/>
        </w:rPr>
        <w:lastRenderedPageBreak/>
        <w:t>Bilješka 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F38BA">
        <w:trPr>
          <w:cantSplit/>
        </w:trPr>
        <w:tc>
          <w:tcPr>
            <w:tcW w:w="700" w:type="dxa"/>
            <w:shd w:val="clear" w:color="auto" w:fill="E7F0F9"/>
            <w:tcMar>
              <w:top w:w="0" w:type="dxa"/>
              <w:bottom w:w="0" w:type="dxa"/>
            </w:tcMar>
            <w:vAlign w:val="center"/>
          </w:tcPr>
          <w:p w:rsidR="00AF38BA" w:rsidRDefault="006B767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AF38BA" w:rsidRDefault="006B767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F38BA" w:rsidRDefault="006B767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F38BA" w:rsidRDefault="006B767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AF38BA" w:rsidRDefault="006B767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AF38BA" w:rsidRDefault="006B7671">
            <w:pPr>
              <w:keepNext/>
              <w:keepLines/>
              <w:spacing w:after="0" w:line="240" w:lineRule="auto"/>
              <w:jc w:val="center"/>
            </w:pPr>
            <w:r>
              <w:rPr>
                <w:b/>
                <w:sz w:val="18"/>
              </w:rPr>
              <w:t>Indeks (%)</w:t>
            </w:r>
          </w:p>
        </w:tc>
      </w:tr>
      <w:tr w:rsidR="00AF38BA">
        <w:trPr>
          <w:cantSplit/>
          <w:trHeight w:val="560"/>
        </w:trPr>
        <w:tc>
          <w:tcPr>
            <w:tcW w:w="700" w:type="dxa"/>
            <w:tcMar>
              <w:top w:w="0" w:type="dxa"/>
              <w:bottom w:w="0" w:type="dxa"/>
            </w:tcMar>
            <w:vAlign w:val="center"/>
          </w:tcPr>
          <w:p w:rsidR="00AF38BA" w:rsidRDefault="006B7671">
            <w:pPr>
              <w:keepNext/>
              <w:keepLines/>
              <w:spacing w:after="0" w:line="240" w:lineRule="auto"/>
            </w:pPr>
            <w:r>
              <w:rPr>
                <w:sz w:val="18"/>
              </w:rPr>
              <w:t>6331</w:t>
            </w:r>
          </w:p>
        </w:tc>
        <w:tc>
          <w:tcPr>
            <w:tcW w:w="3180" w:type="dxa"/>
            <w:tcMar>
              <w:top w:w="0" w:type="dxa"/>
              <w:bottom w:w="0" w:type="dxa"/>
            </w:tcMar>
            <w:vAlign w:val="center"/>
          </w:tcPr>
          <w:p w:rsidR="00AF38BA" w:rsidRDefault="006B7671">
            <w:pPr>
              <w:keepNext/>
              <w:keepLines/>
              <w:spacing w:after="0" w:line="240" w:lineRule="auto"/>
            </w:pPr>
            <w:r>
              <w:rPr>
                <w:sz w:val="18"/>
              </w:rPr>
              <w:t>Tekuće pomoći proračunu i izvanproračunskim korisnicima iz drugih proračuna</w:t>
            </w:r>
          </w:p>
        </w:tc>
        <w:tc>
          <w:tcPr>
            <w:tcW w:w="700" w:type="dxa"/>
            <w:tcMar>
              <w:top w:w="0" w:type="dxa"/>
              <w:bottom w:w="0" w:type="dxa"/>
            </w:tcMar>
            <w:vAlign w:val="center"/>
          </w:tcPr>
          <w:p w:rsidR="00AF38BA" w:rsidRDefault="006B7671">
            <w:pPr>
              <w:keepNext/>
              <w:keepLines/>
              <w:spacing w:after="0" w:line="240" w:lineRule="auto"/>
            </w:pPr>
            <w:r>
              <w:rPr>
                <w:sz w:val="18"/>
              </w:rPr>
              <w:t>6331</w:t>
            </w:r>
          </w:p>
        </w:tc>
        <w:tc>
          <w:tcPr>
            <w:tcW w:w="1860" w:type="dxa"/>
            <w:tcMar>
              <w:top w:w="0" w:type="dxa"/>
              <w:bottom w:w="0" w:type="dxa"/>
            </w:tcMar>
            <w:vAlign w:val="center"/>
          </w:tcPr>
          <w:p w:rsidR="00AF38BA" w:rsidRDefault="006B7671">
            <w:pPr>
              <w:keepNext/>
              <w:keepLines/>
              <w:spacing w:after="0" w:line="240" w:lineRule="auto"/>
              <w:jc w:val="right"/>
            </w:pPr>
            <w:r>
              <w:rPr>
                <w:sz w:val="18"/>
              </w:rPr>
              <w:t>5.445.127,52</w:t>
            </w:r>
          </w:p>
        </w:tc>
        <w:tc>
          <w:tcPr>
            <w:tcW w:w="1860" w:type="dxa"/>
            <w:tcMar>
              <w:top w:w="0" w:type="dxa"/>
              <w:bottom w:w="0" w:type="dxa"/>
            </w:tcMar>
            <w:vAlign w:val="center"/>
          </w:tcPr>
          <w:p w:rsidR="00AF38BA" w:rsidRDefault="006B7671">
            <w:pPr>
              <w:keepNext/>
              <w:keepLines/>
              <w:spacing w:after="0" w:line="240" w:lineRule="auto"/>
              <w:jc w:val="right"/>
            </w:pPr>
            <w:r>
              <w:rPr>
                <w:sz w:val="18"/>
              </w:rPr>
              <w:t>7.801.734,66</w:t>
            </w:r>
          </w:p>
        </w:tc>
        <w:tc>
          <w:tcPr>
            <w:tcW w:w="700" w:type="dxa"/>
            <w:tcMar>
              <w:top w:w="0" w:type="dxa"/>
              <w:bottom w:w="0" w:type="dxa"/>
            </w:tcMar>
            <w:vAlign w:val="center"/>
          </w:tcPr>
          <w:p w:rsidR="00AF38BA" w:rsidRDefault="006B7671">
            <w:pPr>
              <w:keepNext/>
              <w:keepLines/>
              <w:spacing w:after="0" w:line="240" w:lineRule="auto"/>
              <w:jc w:val="right"/>
            </w:pPr>
            <w:r>
              <w:rPr>
                <w:sz w:val="18"/>
              </w:rPr>
              <w:t>143,3</w:t>
            </w:r>
          </w:p>
        </w:tc>
      </w:tr>
    </w:tbl>
    <w:p w:rsidR="00AF38BA" w:rsidRDefault="00AF38BA">
      <w:pPr>
        <w:spacing w:after="0"/>
      </w:pPr>
    </w:p>
    <w:p w:rsidR="00AF38BA" w:rsidRDefault="006B7671" w:rsidP="00187140">
      <w:pPr>
        <w:jc w:val="both"/>
      </w:pPr>
      <w:r>
        <w:t>Najveće odstupanje je kod prihoda iz Državnog proračuna- Ministarstvo mora, prometa i infrastrukture ostvarenih za financiranje besplatnog, javnog otočnog cestovnog prijevoza putnika na području Županije odnosno otoka Krk, Cres, Lošinj i Rab, temeljem Pravilnika o načinu ostvarivanja prava na besplatan javni otočni cestovni prijevoz („Narodne novine“ broj 68/24), na ime kojih je Županiji u 2025. godini doznačeno 2.671.361,04 eura, a u izvještajnom razdoblju 2024. godine 671.284,03 eura.</w:t>
      </w:r>
    </w:p>
    <w:p w:rsidR="00AF38BA" w:rsidRDefault="00AF38BA"/>
    <w:p w:rsidR="00AF38BA" w:rsidRDefault="006B7671">
      <w:pPr>
        <w:keepNext/>
        <w:spacing w:line="240" w:lineRule="auto"/>
        <w:jc w:val="center"/>
      </w:pPr>
      <w:r>
        <w:rPr>
          <w:sz w:val="28"/>
        </w:rPr>
        <w:t>Bilješka 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F38BA">
        <w:trPr>
          <w:cantSplit/>
        </w:trPr>
        <w:tc>
          <w:tcPr>
            <w:tcW w:w="700" w:type="dxa"/>
            <w:shd w:val="clear" w:color="auto" w:fill="E7F0F9"/>
            <w:tcMar>
              <w:top w:w="0" w:type="dxa"/>
              <w:bottom w:w="0" w:type="dxa"/>
            </w:tcMar>
            <w:vAlign w:val="center"/>
          </w:tcPr>
          <w:p w:rsidR="00AF38BA" w:rsidRDefault="006B767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AF38BA" w:rsidRDefault="006B767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F38BA" w:rsidRDefault="006B767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F38BA" w:rsidRDefault="006B767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AF38BA" w:rsidRDefault="006B767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AF38BA" w:rsidRDefault="006B7671">
            <w:pPr>
              <w:keepNext/>
              <w:keepLines/>
              <w:spacing w:after="0" w:line="240" w:lineRule="auto"/>
              <w:jc w:val="center"/>
            </w:pPr>
            <w:r>
              <w:rPr>
                <w:b/>
                <w:sz w:val="18"/>
              </w:rPr>
              <w:t>Indeks (%)</w:t>
            </w:r>
          </w:p>
        </w:tc>
      </w:tr>
      <w:tr w:rsidR="00AF38BA">
        <w:trPr>
          <w:cantSplit/>
          <w:trHeight w:val="560"/>
        </w:trPr>
        <w:tc>
          <w:tcPr>
            <w:tcW w:w="700" w:type="dxa"/>
            <w:tcMar>
              <w:top w:w="0" w:type="dxa"/>
              <w:bottom w:w="0" w:type="dxa"/>
            </w:tcMar>
            <w:vAlign w:val="center"/>
          </w:tcPr>
          <w:p w:rsidR="00AF38BA" w:rsidRDefault="006B7671">
            <w:pPr>
              <w:keepNext/>
              <w:keepLines/>
              <w:spacing w:after="0" w:line="240" w:lineRule="auto"/>
            </w:pPr>
            <w:r>
              <w:rPr>
                <w:sz w:val="18"/>
              </w:rPr>
              <w:t>6332</w:t>
            </w:r>
          </w:p>
        </w:tc>
        <w:tc>
          <w:tcPr>
            <w:tcW w:w="3180" w:type="dxa"/>
            <w:tcMar>
              <w:top w:w="0" w:type="dxa"/>
              <w:bottom w:w="0" w:type="dxa"/>
            </w:tcMar>
            <w:vAlign w:val="center"/>
          </w:tcPr>
          <w:p w:rsidR="00AF38BA" w:rsidRDefault="006B7671">
            <w:pPr>
              <w:keepNext/>
              <w:keepLines/>
              <w:spacing w:after="0" w:line="240" w:lineRule="auto"/>
            </w:pPr>
            <w:r>
              <w:rPr>
                <w:sz w:val="18"/>
              </w:rPr>
              <w:t>Kapitalne pomoći proračunu i izvanproračunskim korisnicima iz drugih proračuna</w:t>
            </w:r>
          </w:p>
        </w:tc>
        <w:tc>
          <w:tcPr>
            <w:tcW w:w="700" w:type="dxa"/>
            <w:tcMar>
              <w:top w:w="0" w:type="dxa"/>
              <w:bottom w:w="0" w:type="dxa"/>
            </w:tcMar>
            <w:vAlign w:val="center"/>
          </w:tcPr>
          <w:p w:rsidR="00AF38BA" w:rsidRDefault="006B7671">
            <w:pPr>
              <w:keepNext/>
              <w:keepLines/>
              <w:spacing w:after="0" w:line="240" w:lineRule="auto"/>
            </w:pPr>
            <w:r>
              <w:rPr>
                <w:sz w:val="18"/>
              </w:rPr>
              <w:t>6332</w:t>
            </w:r>
          </w:p>
        </w:tc>
        <w:tc>
          <w:tcPr>
            <w:tcW w:w="1860" w:type="dxa"/>
            <w:tcMar>
              <w:top w:w="0" w:type="dxa"/>
              <w:bottom w:w="0" w:type="dxa"/>
            </w:tcMar>
            <w:vAlign w:val="center"/>
          </w:tcPr>
          <w:p w:rsidR="00AF38BA" w:rsidRDefault="006B7671">
            <w:pPr>
              <w:keepNext/>
              <w:keepLines/>
              <w:spacing w:after="0" w:line="240" w:lineRule="auto"/>
              <w:jc w:val="right"/>
            </w:pPr>
            <w:r>
              <w:rPr>
                <w:sz w:val="18"/>
              </w:rPr>
              <w:t>305.423,29</w:t>
            </w:r>
          </w:p>
        </w:tc>
        <w:tc>
          <w:tcPr>
            <w:tcW w:w="1860" w:type="dxa"/>
            <w:tcMar>
              <w:top w:w="0" w:type="dxa"/>
              <w:bottom w:w="0" w:type="dxa"/>
            </w:tcMar>
            <w:vAlign w:val="center"/>
          </w:tcPr>
          <w:p w:rsidR="00AF38BA" w:rsidRDefault="006B7671">
            <w:pPr>
              <w:keepNext/>
              <w:keepLines/>
              <w:spacing w:after="0" w:line="240" w:lineRule="auto"/>
              <w:jc w:val="right"/>
            </w:pPr>
            <w:r>
              <w:rPr>
                <w:sz w:val="18"/>
              </w:rPr>
              <w:t>759.245,78</w:t>
            </w:r>
          </w:p>
        </w:tc>
        <w:tc>
          <w:tcPr>
            <w:tcW w:w="700" w:type="dxa"/>
            <w:tcMar>
              <w:top w:w="0" w:type="dxa"/>
              <w:bottom w:w="0" w:type="dxa"/>
            </w:tcMar>
            <w:vAlign w:val="center"/>
          </w:tcPr>
          <w:p w:rsidR="00AF38BA" w:rsidRDefault="006B7671">
            <w:pPr>
              <w:keepNext/>
              <w:keepLines/>
              <w:spacing w:after="0" w:line="240" w:lineRule="auto"/>
              <w:jc w:val="right"/>
            </w:pPr>
            <w:r>
              <w:rPr>
                <w:sz w:val="18"/>
              </w:rPr>
              <w:t>248,6</w:t>
            </w:r>
          </w:p>
        </w:tc>
      </w:tr>
    </w:tbl>
    <w:p w:rsidR="00AF38BA" w:rsidRDefault="00AF38BA">
      <w:pPr>
        <w:spacing w:after="0"/>
      </w:pPr>
    </w:p>
    <w:p w:rsidR="00187140" w:rsidRDefault="006B7671" w:rsidP="00187140">
      <w:pPr>
        <w:jc w:val="both"/>
      </w:pPr>
      <w:r>
        <w:t xml:space="preserve">Na navedeno povećanje utjecao je prihod koji je Županija u 2025. godini ostvarila iz Proračuna Općine </w:t>
      </w:r>
      <w:proofErr w:type="spellStart"/>
      <w:r>
        <w:t>Dobrinj</w:t>
      </w:r>
      <w:proofErr w:type="spellEnd"/>
      <w:r>
        <w:t xml:space="preserve"> u iznosu od 704.245,78 eura, za sufinanciranje projekta Dogradnja OŠ Omišalj – PŠ </w:t>
      </w:r>
      <w:proofErr w:type="spellStart"/>
      <w:r>
        <w:t>Dobrinj</w:t>
      </w:r>
      <w:proofErr w:type="spellEnd"/>
      <w:r>
        <w:t>.</w:t>
      </w:r>
    </w:p>
    <w:p w:rsidR="00AF38BA" w:rsidRDefault="006B7671" w:rsidP="00187140">
      <w:pPr>
        <w:jc w:val="both"/>
      </w:pPr>
      <w:r>
        <w:t>S druge strane, u 2024. godini Županija je ostvarila prihod iz Državnog proračuna-Ministarstvo regionalnoga razvoja i fondova EU u iznosu od 246.923,29 eura za sufinanciranje završenog EU projekta Kulturno-turistička ruta Putovima Frankopana.</w:t>
      </w:r>
    </w:p>
    <w:p w:rsidR="00AF38BA" w:rsidRDefault="00AF38BA"/>
    <w:p w:rsidR="00AF38BA" w:rsidRDefault="006B7671">
      <w:pPr>
        <w:keepNext/>
        <w:spacing w:line="240" w:lineRule="auto"/>
        <w:jc w:val="center"/>
      </w:pPr>
      <w:r>
        <w:rPr>
          <w:sz w:val="28"/>
        </w:rPr>
        <w:t>Bilješka 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F38BA">
        <w:trPr>
          <w:cantSplit/>
        </w:trPr>
        <w:tc>
          <w:tcPr>
            <w:tcW w:w="700" w:type="dxa"/>
            <w:shd w:val="clear" w:color="auto" w:fill="E7F0F9"/>
            <w:tcMar>
              <w:top w:w="0" w:type="dxa"/>
              <w:bottom w:w="0" w:type="dxa"/>
            </w:tcMar>
            <w:vAlign w:val="center"/>
          </w:tcPr>
          <w:p w:rsidR="00AF38BA" w:rsidRDefault="006B767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AF38BA" w:rsidRDefault="006B767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F38BA" w:rsidRDefault="006B767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F38BA" w:rsidRDefault="006B767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AF38BA" w:rsidRDefault="006B767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AF38BA" w:rsidRDefault="006B7671">
            <w:pPr>
              <w:keepNext/>
              <w:keepLines/>
              <w:spacing w:after="0" w:line="240" w:lineRule="auto"/>
              <w:jc w:val="center"/>
            </w:pPr>
            <w:r>
              <w:rPr>
                <w:b/>
                <w:sz w:val="18"/>
              </w:rPr>
              <w:t>Indeks (%)</w:t>
            </w:r>
          </w:p>
        </w:tc>
      </w:tr>
      <w:tr w:rsidR="00AF38BA">
        <w:trPr>
          <w:cantSplit/>
          <w:trHeight w:val="560"/>
        </w:trPr>
        <w:tc>
          <w:tcPr>
            <w:tcW w:w="700" w:type="dxa"/>
            <w:tcMar>
              <w:top w:w="0" w:type="dxa"/>
              <w:bottom w:w="0" w:type="dxa"/>
            </w:tcMar>
            <w:vAlign w:val="center"/>
          </w:tcPr>
          <w:p w:rsidR="00AF38BA" w:rsidRDefault="006B7671">
            <w:pPr>
              <w:keepNext/>
              <w:keepLines/>
              <w:spacing w:after="0" w:line="240" w:lineRule="auto"/>
            </w:pPr>
            <w:r>
              <w:rPr>
                <w:sz w:val="18"/>
              </w:rPr>
              <w:t>6351</w:t>
            </w:r>
          </w:p>
        </w:tc>
        <w:tc>
          <w:tcPr>
            <w:tcW w:w="3180" w:type="dxa"/>
            <w:tcMar>
              <w:top w:w="0" w:type="dxa"/>
              <w:bottom w:w="0" w:type="dxa"/>
            </w:tcMar>
            <w:vAlign w:val="center"/>
          </w:tcPr>
          <w:p w:rsidR="00AF38BA" w:rsidRDefault="006B7671">
            <w:pPr>
              <w:keepNext/>
              <w:keepLines/>
              <w:spacing w:after="0" w:line="240" w:lineRule="auto"/>
            </w:pPr>
            <w:r>
              <w:rPr>
                <w:sz w:val="18"/>
              </w:rPr>
              <w:t>Tekuće pomoći izravnanja za decentralizirane funkcije</w:t>
            </w:r>
          </w:p>
        </w:tc>
        <w:tc>
          <w:tcPr>
            <w:tcW w:w="700" w:type="dxa"/>
            <w:tcMar>
              <w:top w:w="0" w:type="dxa"/>
              <w:bottom w:w="0" w:type="dxa"/>
            </w:tcMar>
            <w:vAlign w:val="center"/>
          </w:tcPr>
          <w:p w:rsidR="00AF38BA" w:rsidRDefault="006B7671">
            <w:pPr>
              <w:keepNext/>
              <w:keepLines/>
              <w:spacing w:after="0" w:line="240" w:lineRule="auto"/>
            </w:pPr>
            <w:r>
              <w:rPr>
                <w:sz w:val="18"/>
              </w:rPr>
              <w:t>6351</w:t>
            </w:r>
          </w:p>
        </w:tc>
        <w:tc>
          <w:tcPr>
            <w:tcW w:w="1860" w:type="dxa"/>
            <w:tcMar>
              <w:top w:w="0" w:type="dxa"/>
              <w:bottom w:w="0" w:type="dxa"/>
            </w:tcMar>
            <w:vAlign w:val="center"/>
          </w:tcPr>
          <w:p w:rsidR="00AF38BA" w:rsidRDefault="006B7671">
            <w:pPr>
              <w:keepNext/>
              <w:keepLines/>
              <w:spacing w:after="0" w:line="240" w:lineRule="auto"/>
              <w:jc w:val="right"/>
            </w:pPr>
            <w:r>
              <w:rPr>
                <w:sz w:val="18"/>
              </w:rPr>
              <w:t>1.712.435,46</w:t>
            </w:r>
          </w:p>
        </w:tc>
        <w:tc>
          <w:tcPr>
            <w:tcW w:w="1860" w:type="dxa"/>
            <w:tcMar>
              <w:top w:w="0" w:type="dxa"/>
              <w:bottom w:w="0" w:type="dxa"/>
            </w:tcMar>
            <w:vAlign w:val="center"/>
          </w:tcPr>
          <w:p w:rsidR="00AF38BA" w:rsidRDefault="006B7671">
            <w:pPr>
              <w:keepNext/>
              <w:keepLines/>
              <w:spacing w:after="0" w:line="240" w:lineRule="auto"/>
              <w:jc w:val="right"/>
            </w:pPr>
            <w:r>
              <w:rPr>
                <w:sz w:val="18"/>
              </w:rPr>
              <w:t>1.478.776,89</w:t>
            </w:r>
          </w:p>
        </w:tc>
        <w:tc>
          <w:tcPr>
            <w:tcW w:w="700" w:type="dxa"/>
            <w:tcMar>
              <w:top w:w="0" w:type="dxa"/>
              <w:bottom w:w="0" w:type="dxa"/>
            </w:tcMar>
            <w:vAlign w:val="center"/>
          </w:tcPr>
          <w:p w:rsidR="00AF38BA" w:rsidRDefault="006B7671">
            <w:pPr>
              <w:keepNext/>
              <w:keepLines/>
              <w:spacing w:after="0" w:line="240" w:lineRule="auto"/>
              <w:jc w:val="right"/>
            </w:pPr>
            <w:r>
              <w:rPr>
                <w:sz w:val="18"/>
              </w:rPr>
              <w:t>86,4</w:t>
            </w:r>
          </w:p>
        </w:tc>
      </w:tr>
    </w:tbl>
    <w:p w:rsidR="00AF38BA" w:rsidRDefault="00AF38BA">
      <w:pPr>
        <w:spacing w:after="0"/>
      </w:pPr>
    </w:p>
    <w:p w:rsidR="00AF38BA" w:rsidRDefault="006B7671" w:rsidP="00187140">
      <w:pPr>
        <w:jc w:val="both"/>
      </w:pPr>
      <w:r>
        <w:t>Navedeno smanjenje rezultat je značajnijeg povećanja prihoda od poreza na dohodak i minimalnog povećanja bilančnih prava u odnosu na prošlu godinu.</w:t>
      </w:r>
      <w:r w:rsidR="00187140">
        <w:t xml:space="preserve"> </w:t>
      </w:r>
      <w:r>
        <w:t>Tako su prihodi od tekućih pomoći izravnanja za decentralizirane funkcije u izvještajnom razdoblju ostvareni kako slijedi: osnovno školstvo (u 2024. godini ostvareno je 1.168.880,58 eura, a u 2025. godini 1.244.037,07 eura), i srednje školstvo (u 2024. godini ostvareno je 543.554,88 eura, a u 2025. godini 234.739,82 eura).</w:t>
      </w:r>
    </w:p>
    <w:p w:rsidR="00AF38BA" w:rsidRDefault="00AF38BA"/>
    <w:p w:rsidR="00AF38BA" w:rsidRDefault="006B7671">
      <w:pPr>
        <w:keepNext/>
        <w:spacing w:line="240" w:lineRule="auto"/>
        <w:jc w:val="center"/>
      </w:pPr>
      <w:r>
        <w:rPr>
          <w:sz w:val="28"/>
        </w:rPr>
        <w:lastRenderedPageBreak/>
        <w:t>Bilješka 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F38BA">
        <w:trPr>
          <w:cantSplit/>
        </w:trPr>
        <w:tc>
          <w:tcPr>
            <w:tcW w:w="700" w:type="dxa"/>
            <w:shd w:val="clear" w:color="auto" w:fill="E7F0F9"/>
            <w:tcMar>
              <w:top w:w="0" w:type="dxa"/>
              <w:bottom w:w="0" w:type="dxa"/>
            </w:tcMar>
            <w:vAlign w:val="center"/>
          </w:tcPr>
          <w:p w:rsidR="00AF38BA" w:rsidRDefault="006B767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AF38BA" w:rsidRDefault="006B767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F38BA" w:rsidRDefault="006B767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F38BA" w:rsidRDefault="006B767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AF38BA" w:rsidRDefault="006B767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AF38BA" w:rsidRDefault="006B7671">
            <w:pPr>
              <w:keepNext/>
              <w:keepLines/>
              <w:spacing w:after="0" w:line="240" w:lineRule="auto"/>
              <w:jc w:val="center"/>
            </w:pPr>
            <w:r>
              <w:rPr>
                <w:b/>
                <w:sz w:val="18"/>
              </w:rPr>
              <w:t>Indeks (%)</w:t>
            </w:r>
          </w:p>
        </w:tc>
      </w:tr>
      <w:tr w:rsidR="00AF38BA">
        <w:trPr>
          <w:cantSplit/>
          <w:trHeight w:val="560"/>
        </w:trPr>
        <w:tc>
          <w:tcPr>
            <w:tcW w:w="700" w:type="dxa"/>
            <w:tcMar>
              <w:top w:w="0" w:type="dxa"/>
              <w:bottom w:w="0" w:type="dxa"/>
            </w:tcMar>
            <w:vAlign w:val="center"/>
          </w:tcPr>
          <w:p w:rsidR="00AF38BA" w:rsidRDefault="006B7671">
            <w:pPr>
              <w:keepNext/>
              <w:keepLines/>
              <w:spacing w:after="0" w:line="240" w:lineRule="auto"/>
            </w:pPr>
            <w:r>
              <w:rPr>
                <w:sz w:val="18"/>
              </w:rPr>
              <w:t>6352</w:t>
            </w:r>
          </w:p>
        </w:tc>
        <w:tc>
          <w:tcPr>
            <w:tcW w:w="3180" w:type="dxa"/>
            <w:tcMar>
              <w:top w:w="0" w:type="dxa"/>
              <w:bottom w:w="0" w:type="dxa"/>
            </w:tcMar>
            <w:vAlign w:val="center"/>
          </w:tcPr>
          <w:p w:rsidR="00AF38BA" w:rsidRDefault="006B7671">
            <w:pPr>
              <w:keepNext/>
              <w:keepLines/>
              <w:spacing w:after="0" w:line="240" w:lineRule="auto"/>
            </w:pPr>
            <w:r>
              <w:rPr>
                <w:sz w:val="18"/>
              </w:rPr>
              <w:t>Kapitalne pomoći izravnanja za decentralizirane funkcije</w:t>
            </w:r>
          </w:p>
        </w:tc>
        <w:tc>
          <w:tcPr>
            <w:tcW w:w="700" w:type="dxa"/>
            <w:tcMar>
              <w:top w:w="0" w:type="dxa"/>
              <w:bottom w:w="0" w:type="dxa"/>
            </w:tcMar>
            <w:vAlign w:val="center"/>
          </w:tcPr>
          <w:p w:rsidR="00AF38BA" w:rsidRDefault="006B7671">
            <w:pPr>
              <w:keepNext/>
              <w:keepLines/>
              <w:spacing w:after="0" w:line="240" w:lineRule="auto"/>
            </w:pPr>
            <w:r>
              <w:rPr>
                <w:sz w:val="18"/>
              </w:rPr>
              <w:t>6352</w:t>
            </w:r>
          </w:p>
        </w:tc>
        <w:tc>
          <w:tcPr>
            <w:tcW w:w="1860" w:type="dxa"/>
            <w:tcMar>
              <w:top w:w="0" w:type="dxa"/>
              <w:bottom w:w="0" w:type="dxa"/>
            </w:tcMar>
            <w:vAlign w:val="center"/>
          </w:tcPr>
          <w:p w:rsidR="00AF38BA" w:rsidRDefault="006B7671">
            <w:pPr>
              <w:keepNext/>
              <w:keepLines/>
              <w:spacing w:after="0" w:line="240" w:lineRule="auto"/>
              <w:jc w:val="right"/>
            </w:pPr>
            <w:r>
              <w:rPr>
                <w:sz w:val="18"/>
              </w:rPr>
              <w:t>1.509.457,14</w:t>
            </w:r>
          </w:p>
        </w:tc>
        <w:tc>
          <w:tcPr>
            <w:tcW w:w="1860" w:type="dxa"/>
            <w:tcMar>
              <w:top w:w="0" w:type="dxa"/>
              <w:bottom w:w="0" w:type="dxa"/>
            </w:tcMar>
            <w:vAlign w:val="center"/>
          </w:tcPr>
          <w:p w:rsidR="00AF38BA" w:rsidRDefault="006B7671">
            <w:pPr>
              <w:keepNext/>
              <w:keepLines/>
              <w:spacing w:after="0" w:line="240" w:lineRule="auto"/>
              <w:jc w:val="right"/>
            </w:pPr>
            <w:r>
              <w:rPr>
                <w:sz w:val="18"/>
              </w:rPr>
              <w:t>686.630,79</w:t>
            </w:r>
          </w:p>
        </w:tc>
        <w:tc>
          <w:tcPr>
            <w:tcW w:w="700" w:type="dxa"/>
            <w:tcMar>
              <w:top w:w="0" w:type="dxa"/>
              <w:bottom w:w="0" w:type="dxa"/>
            </w:tcMar>
            <w:vAlign w:val="center"/>
          </w:tcPr>
          <w:p w:rsidR="00AF38BA" w:rsidRDefault="006B7671">
            <w:pPr>
              <w:keepNext/>
              <w:keepLines/>
              <w:spacing w:after="0" w:line="240" w:lineRule="auto"/>
              <w:jc w:val="right"/>
            </w:pPr>
            <w:r>
              <w:rPr>
                <w:sz w:val="18"/>
              </w:rPr>
              <w:t>45,5</w:t>
            </w:r>
          </w:p>
        </w:tc>
      </w:tr>
    </w:tbl>
    <w:p w:rsidR="00AF38BA" w:rsidRDefault="00AF38BA">
      <w:pPr>
        <w:spacing w:after="0"/>
      </w:pPr>
    </w:p>
    <w:p w:rsidR="00AF38BA" w:rsidRDefault="006B7671" w:rsidP="00187140">
      <w:pPr>
        <w:jc w:val="both"/>
      </w:pPr>
      <w:r>
        <w:t>Smanjenje predmetnih prihoda Županije rezultat je manje ostvarenih kapitalnih pomoći izravnanja za decentralizirane funkcije u izvještajnom razdoblju kako slijedi: osnovno školstvo (u 2024. godini ostvareno je 557.957,51 eura, a u 2025. godini 228.065,98 eura), srednje školstvo (u 2024. godini ostvareno je 388.747,08 eura, a u 2025. godini 226.796,74 eura) i zdravstvene ustanove (u 2024. godini ostvareno je 562.752,55 eura, a u 2025. godini 231.768,07 eura).</w:t>
      </w:r>
    </w:p>
    <w:p w:rsidR="00AF38BA" w:rsidRDefault="00AF38BA" w:rsidP="009D3F59">
      <w:pPr>
        <w:spacing w:after="0" w:line="240" w:lineRule="auto"/>
      </w:pPr>
    </w:p>
    <w:p w:rsidR="00AF38BA" w:rsidRDefault="006B7671">
      <w:pPr>
        <w:keepNext/>
        <w:spacing w:line="240" w:lineRule="auto"/>
        <w:jc w:val="center"/>
      </w:pPr>
      <w:r>
        <w:rPr>
          <w:sz w:val="28"/>
        </w:rPr>
        <w:t>Bilješka 10.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F38BA">
        <w:trPr>
          <w:cantSplit/>
        </w:trPr>
        <w:tc>
          <w:tcPr>
            <w:tcW w:w="700" w:type="dxa"/>
            <w:shd w:val="clear" w:color="auto" w:fill="E7F0F9"/>
            <w:tcMar>
              <w:top w:w="0" w:type="dxa"/>
              <w:bottom w:w="0" w:type="dxa"/>
            </w:tcMar>
            <w:vAlign w:val="center"/>
          </w:tcPr>
          <w:p w:rsidR="00AF38BA" w:rsidRDefault="006B767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AF38BA" w:rsidRDefault="006B767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F38BA" w:rsidRDefault="006B767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F38BA" w:rsidRDefault="006B767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AF38BA" w:rsidRDefault="006B767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AF38BA" w:rsidRDefault="006B7671">
            <w:pPr>
              <w:keepNext/>
              <w:keepLines/>
              <w:spacing w:after="0" w:line="240" w:lineRule="auto"/>
              <w:jc w:val="center"/>
            </w:pPr>
            <w:r>
              <w:rPr>
                <w:b/>
                <w:sz w:val="18"/>
              </w:rPr>
              <w:t>Indeks (%)</w:t>
            </w:r>
          </w:p>
        </w:tc>
      </w:tr>
      <w:tr w:rsidR="00AF38BA">
        <w:trPr>
          <w:cantSplit/>
          <w:trHeight w:val="560"/>
        </w:trPr>
        <w:tc>
          <w:tcPr>
            <w:tcW w:w="700" w:type="dxa"/>
            <w:tcMar>
              <w:top w:w="0" w:type="dxa"/>
              <w:bottom w:w="0" w:type="dxa"/>
            </w:tcMar>
            <w:vAlign w:val="center"/>
          </w:tcPr>
          <w:p w:rsidR="00AF38BA" w:rsidRDefault="006B7671">
            <w:pPr>
              <w:keepNext/>
              <w:keepLines/>
              <w:spacing w:after="0" w:line="240" w:lineRule="auto"/>
            </w:pPr>
            <w:r>
              <w:rPr>
                <w:sz w:val="18"/>
              </w:rPr>
              <w:t>6381</w:t>
            </w:r>
          </w:p>
        </w:tc>
        <w:tc>
          <w:tcPr>
            <w:tcW w:w="3180" w:type="dxa"/>
            <w:tcMar>
              <w:top w:w="0" w:type="dxa"/>
              <w:bottom w:w="0" w:type="dxa"/>
            </w:tcMar>
            <w:vAlign w:val="center"/>
          </w:tcPr>
          <w:p w:rsidR="00AF38BA" w:rsidRDefault="006B7671">
            <w:pPr>
              <w:keepNext/>
              <w:keepLines/>
              <w:spacing w:after="0" w:line="240" w:lineRule="auto"/>
            </w:pPr>
            <w:r>
              <w:rPr>
                <w:sz w:val="18"/>
              </w:rPr>
              <w:t>Tekuće pomoći temeljem prijenosa EU sredstava</w:t>
            </w:r>
          </w:p>
        </w:tc>
        <w:tc>
          <w:tcPr>
            <w:tcW w:w="700" w:type="dxa"/>
            <w:tcMar>
              <w:top w:w="0" w:type="dxa"/>
              <w:bottom w:w="0" w:type="dxa"/>
            </w:tcMar>
            <w:vAlign w:val="center"/>
          </w:tcPr>
          <w:p w:rsidR="00AF38BA" w:rsidRDefault="006B7671">
            <w:pPr>
              <w:keepNext/>
              <w:keepLines/>
              <w:spacing w:after="0" w:line="240" w:lineRule="auto"/>
            </w:pPr>
            <w:r>
              <w:rPr>
                <w:sz w:val="18"/>
              </w:rPr>
              <w:t>6381</w:t>
            </w:r>
          </w:p>
        </w:tc>
        <w:tc>
          <w:tcPr>
            <w:tcW w:w="1860" w:type="dxa"/>
            <w:tcMar>
              <w:top w:w="0" w:type="dxa"/>
              <w:bottom w:w="0" w:type="dxa"/>
            </w:tcMar>
            <w:vAlign w:val="center"/>
          </w:tcPr>
          <w:p w:rsidR="00AF38BA" w:rsidRDefault="006B7671">
            <w:pPr>
              <w:keepNext/>
              <w:keepLines/>
              <w:spacing w:after="0" w:line="240" w:lineRule="auto"/>
              <w:jc w:val="right"/>
            </w:pPr>
            <w:r>
              <w:rPr>
                <w:sz w:val="18"/>
              </w:rPr>
              <w:t>540.446,46</w:t>
            </w:r>
          </w:p>
        </w:tc>
        <w:tc>
          <w:tcPr>
            <w:tcW w:w="1860" w:type="dxa"/>
            <w:tcMar>
              <w:top w:w="0" w:type="dxa"/>
              <w:bottom w:w="0" w:type="dxa"/>
            </w:tcMar>
            <w:vAlign w:val="center"/>
          </w:tcPr>
          <w:p w:rsidR="00AF38BA" w:rsidRDefault="006B7671">
            <w:pPr>
              <w:keepNext/>
              <w:keepLines/>
              <w:spacing w:after="0" w:line="240" w:lineRule="auto"/>
              <w:jc w:val="right"/>
            </w:pPr>
            <w:r>
              <w:rPr>
                <w:sz w:val="18"/>
              </w:rPr>
              <w:t>939.569,84</w:t>
            </w:r>
          </w:p>
        </w:tc>
        <w:tc>
          <w:tcPr>
            <w:tcW w:w="700" w:type="dxa"/>
            <w:tcMar>
              <w:top w:w="0" w:type="dxa"/>
              <w:bottom w:w="0" w:type="dxa"/>
            </w:tcMar>
            <w:vAlign w:val="center"/>
          </w:tcPr>
          <w:p w:rsidR="00AF38BA" w:rsidRDefault="006B7671">
            <w:pPr>
              <w:keepNext/>
              <w:keepLines/>
              <w:spacing w:after="0" w:line="240" w:lineRule="auto"/>
              <w:jc w:val="right"/>
            </w:pPr>
            <w:r>
              <w:rPr>
                <w:sz w:val="18"/>
              </w:rPr>
              <w:t>173,9</w:t>
            </w:r>
          </w:p>
        </w:tc>
      </w:tr>
    </w:tbl>
    <w:p w:rsidR="00AF38BA" w:rsidRDefault="00AF38BA">
      <w:pPr>
        <w:spacing w:after="0"/>
      </w:pPr>
    </w:p>
    <w:p w:rsidR="00AF38BA" w:rsidRDefault="006B7671" w:rsidP="00187140">
      <w:pPr>
        <w:jc w:val="both"/>
      </w:pPr>
      <w:r>
        <w:t xml:space="preserve">Navedeno odstupanje je, u najvećem djelu, rezultat povećanja prihoda Županije za sufinanciranje projekta Uz pomoćnike u nastavi do </w:t>
      </w:r>
      <w:proofErr w:type="spellStart"/>
      <w:r>
        <w:t>inkluzivnog</w:t>
      </w:r>
      <w:proofErr w:type="spellEnd"/>
      <w:r>
        <w:t xml:space="preserve"> obrazovanja u PGŽ (u 2024. godini ostvareno je 504.773,65 eura, a u 2025. godini 902.889,31 eura).</w:t>
      </w:r>
    </w:p>
    <w:p w:rsidR="00AF38BA" w:rsidRDefault="00AF38BA"/>
    <w:p w:rsidR="00AF38BA" w:rsidRDefault="006B7671">
      <w:pPr>
        <w:keepNext/>
        <w:spacing w:line="240" w:lineRule="auto"/>
        <w:jc w:val="center"/>
      </w:pPr>
      <w:r>
        <w:rPr>
          <w:sz w:val="28"/>
        </w:rPr>
        <w:t>Bilješka 11.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F38BA">
        <w:trPr>
          <w:cantSplit/>
        </w:trPr>
        <w:tc>
          <w:tcPr>
            <w:tcW w:w="700" w:type="dxa"/>
            <w:shd w:val="clear" w:color="auto" w:fill="E7F0F9"/>
            <w:tcMar>
              <w:top w:w="0" w:type="dxa"/>
              <w:bottom w:w="0" w:type="dxa"/>
            </w:tcMar>
            <w:vAlign w:val="center"/>
          </w:tcPr>
          <w:p w:rsidR="00AF38BA" w:rsidRDefault="006B767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AF38BA" w:rsidRDefault="006B767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F38BA" w:rsidRDefault="006B767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F38BA" w:rsidRDefault="006B767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AF38BA" w:rsidRDefault="006B767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AF38BA" w:rsidRDefault="006B7671">
            <w:pPr>
              <w:keepNext/>
              <w:keepLines/>
              <w:spacing w:after="0" w:line="240" w:lineRule="auto"/>
              <w:jc w:val="center"/>
            </w:pPr>
            <w:r>
              <w:rPr>
                <w:b/>
                <w:sz w:val="18"/>
              </w:rPr>
              <w:t>Indeks (%)</w:t>
            </w:r>
          </w:p>
        </w:tc>
      </w:tr>
      <w:tr w:rsidR="00AF38BA">
        <w:trPr>
          <w:cantSplit/>
          <w:trHeight w:val="560"/>
        </w:trPr>
        <w:tc>
          <w:tcPr>
            <w:tcW w:w="700" w:type="dxa"/>
            <w:tcMar>
              <w:top w:w="0" w:type="dxa"/>
              <w:bottom w:w="0" w:type="dxa"/>
            </w:tcMar>
            <w:vAlign w:val="center"/>
          </w:tcPr>
          <w:p w:rsidR="00AF38BA" w:rsidRDefault="006B7671">
            <w:pPr>
              <w:keepNext/>
              <w:keepLines/>
              <w:spacing w:after="0" w:line="240" w:lineRule="auto"/>
            </w:pPr>
            <w:r>
              <w:rPr>
                <w:sz w:val="18"/>
              </w:rPr>
              <w:t>6417</w:t>
            </w:r>
          </w:p>
        </w:tc>
        <w:tc>
          <w:tcPr>
            <w:tcW w:w="3180" w:type="dxa"/>
            <w:tcMar>
              <w:top w:w="0" w:type="dxa"/>
              <w:bottom w:w="0" w:type="dxa"/>
            </w:tcMar>
            <w:vAlign w:val="center"/>
          </w:tcPr>
          <w:p w:rsidR="00AF38BA" w:rsidRDefault="006B7671">
            <w:pPr>
              <w:keepNext/>
              <w:keepLines/>
              <w:spacing w:after="0" w:line="240" w:lineRule="auto"/>
            </w:pPr>
            <w:r>
              <w:rPr>
                <w:sz w:val="18"/>
              </w:rPr>
              <w:t>Prihodi iz dobiti trgovačkih društava, kreditnih i ostalih financijskih institucija po posebnim propisima</w:t>
            </w:r>
          </w:p>
        </w:tc>
        <w:tc>
          <w:tcPr>
            <w:tcW w:w="700" w:type="dxa"/>
            <w:tcMar>
              <w:top w:w="0" w:type="dxa"/>
              <w:bottom w:w="0" w:type="dxa"/>
            </w:tcMar>
            <w:vAlign w:val="center"/>
          </w:tcPr>
          <w:p w:rsidR="00AF38BA" w:rsidRDefault="006B7671">
            <w:pPr>
              <w:keepNext/>
              <w:keepLines/>
              <w:spacing w:after="0" w:line="240" w:lineRule="auto"/>
            </w:pPr>
            <w:r>
              <w:rPr>
                <w:sz w:val="18"/>
              </w:rPr>
              <w:t>6417</w:t>
            </w:r>
          </w:p>
        </w:tc>
        <w:tc>
          <w:tcPr>
            <w:tcW w:w="1860" w:type="dxa"/>
            <w:tcMar>
              <w:top w:w="0" w:type="dxa"/>
              <w:bottom w:w="0" w:type="dxa"/>
            </w:tcMar>
            <w:vAlign w:val="center"/>
          </w:tcPr>
          <w:p w:rsidR="00AF38BA" w:rsidRDefault="006B7671">
            <w:pPr>
              <w:keepNext/>
              <w:keepLines/>
              <w:spacing w:after="0" w:line="240" w:lineRule="auto"/>
              <w:jc w:val="right"/>
            </w:pPr>
            <w:r>
              <w:rPr>
                <w:sz w:val="18"/>
              </w:rPr>
              <w:t>609.600,00</w:t>
            </w:r>
          </w:p>
        </w:tc>
        <w:tc>
          <w:tcPr>
            <w:tcW w:w="1860" w:type="dxa"/>
            <w:tcMar>
              <w:top w:w="0" w:type="dxa"/>
              <w:bottom w:w="0" w:type="dxa"/>
            </w:tcMar>
            <w:vAlign w:val="center"/>
          </w:tcPr>
          <w:p w:rsidR="00AF38BA" w:rsidRDefault="006B7671">
            <w:pPr>
              <w:keepNext/>
              <w:keepLines/>
              <w:spacing w:after="0" w:line="240" w:lineRule="auto"/>
              <w:jc w:val="right"/>
            </w:pPr>
            <w:r>
              <w:rPr>
                <w:sz w:val="18"/>
              </w:rPr>
              <w:t>457.200,00</w:t>
            </w:r>
          </w:p>
        </w:tc>
        <w:tc>
          <w:tcPr>
            <w:tcW w:w="700" w:type="dxa"/>
            <w:tcMar>
              <w:top w:w="0" w:type="dxa"/>
              <w:bottom w:w="0" w:type="dxa"/>
            </w:tcMar>
            <w:vAlign w:val="center"/>
          </w:tcPr>
          <w:p w:rsidR="00AF38BA" w:rsidRDefault="006B7671">
            <w:pPr>
              <w:keepNext/>
              <w:keepLines/>
              <w:spacing w:after="0" w:line="240" w:lineRule="auto"/>
              <w:jc w:val="right"/>
            </w:pPr>
            <w:r>
              <w:rPr>
                <w:sz w:val="18"/>
              </w:rPr>
              <w:t>75,0</w:t>
            </w:r>
          </w:p>
        </w:tc>
      </w:tr>
    </w:tbl>
    <w:p w:rsidR="00AF38BA" w:rsidRDefault="00AF38BA">
      <w:pPr>
        <w:spacing w:after="0"/>
      </w:pPr>
    </w:p>
    <w:p w:rsidR="00AF38BA" w:rsidRDefault="006B7671" w:rsidP="00187140">
      <w:pPr>
        <w:jc w:val="both"/>
      </w:pPr>
      <w:r>
        <w:t>Predmetno odstupanje rezultat je smanjenja prihoda iz dobiti trgovačkih društava temeljem udjela Županije u temeljnom kapitalu trgovačkog društva „Ceste-Rijeka“ d.o.o.</w:t>
      </w:r>
    </w:p>
    <w:p w:rsidR="00AF38BA" w:rsidRDefault="00AF38BA"/>
    <w:p w:rsidR="00AF38BA" w:rsidRDefault="006B7671">
      <w:pPr>
        <w:keepNext/>
        <w:spacing w:line="240" w:lineRule="auto"/>
        <w:jc w:val="center"/>
      </w:pPr>
      <w:r>
        <w:rPr>
          <w:sz w:val="28"/>
        </w:rPr>
        <w:t>Bilješka 12.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F38BA">
        <w:trPr>
          <w:cantSplit/>
        </w:trPr>
        <w:tc>
          <w:tcPr>
            <w:tcW w:w="700" w:type="dxa"/>
            <w:shd w:val="clear" w:color="auto" w:fill="E7F0F9"/>
            <w:tcMar>
              <w:top w:w="0" w:type="dxa"/>
              <w:bottom w:w="0" w:type="dxa"/>
            </w:tcMar>
            <w:vAlign w:val="center"/>
          </w:tcPr>
          <w:p w:rsidR="00AF38BA" w:rsidRDefault="006B767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AF38BA" w:rsidRDefault="006B767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F38BA" w:rsidRDefault="006B767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F38BA" w:rsidRDefault="006B767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AF38BA" w:rsidRDefault="006B767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AF38BA" w:rsidRDefault="006B7671">
            <w:pPr>
              <w:keepNext/>
              <w:keepLines/>
              <w:spacing w:after="0" w:line="240" w:lineRule="auto"/>
              <w:jc w:val="center"/>
            </w:pPr>
            <w:r>
              <w:rPr>
                <w:b/>
                <w:sz w:val="18"/>
              </w:rPr>
              <w:t>Indeks (%)</w:t>
            </w:r>
          </w:p>
        </w:tc>
      </w:tr>
      <w:tr w:rsidR="00AF38BA">
        <w:trPr>
          <w:cantSplit/>
          <w:trHeight w:val="560"/>
        </w:trPr>
        <w:tc>
          <w:tcPr>
            <w:tcW w:w="700" w:type="dxa"/>
            <w:tcMar>
              <w:top w:w="0" w:type="dxa"/>
              <w:bottom w:w="0" w:type="dxa"/>
            </w:tcMar>
            <w:vAlign w:val="center"/>
          </w:tcPr>
          <w:p w:rsidR="00AF38BA" w:rsidRDefault="006B7671">
            <w:pPr>
              <w:keepNext/>
              <w:keepLines/>
              <w:spacing w:after="0" w:line="240" w:lineRule="auto"/>
            </w:pPr>
            <w:r>
              <w:rPr>
                <w:sz w:val="18"/>
              </w:rPr>
              <w:t>6421</w:t>
            </w:r>
          </w:p>
        </w:tc>
        <w:tc>
          <w:tcPr>
            <w:tcW w:w="3180" w:type="dxa"/>
            <w:tcMar>
              <w:top w:w="0" w:type="dxa"/>
              <w:bottom w:w="0" w:type="dxa"/>
            </w:tcMar>
            <w:vAlign w:val="center"/>
          </w:tcPr>
          <w:p w:rsidR="00AF38BA" w:rsidRDefault="006B7671">
            <w:pPr>
              <w:keepNext/>
              <w:keepLines/>
              <w:spacing w:after="0" w:line="240" w:lineRule="auto"/>
            </w:pPr>
            <w:r>
              <w:rPr>
                <w:sz w:val="18"/>
              </w:rPr>
              <w:t>Naknade za koncesije</w:t>
            </w:r>
          </w:p>
        </w:tc>
        <w:tc>
          <w:tcPr>
            <w:tcW w:w="700" w:type="dxa"/>
            <w:tcMar>
              <w:top w:w="0" w:type="dxa"/>
              <w:bottom w:w="0" w:type="dxa"/>
            </w:tcMar>
            <w:vAlign w:val="center"/>
          </w:tcPr>
          <w:p w:rsidR="00AF38BA" w:rsidRDefault="006B7671">
            <w:pPr>
              <w:keepNext/>
              <w:keepLines/>
              <w:spacing w:after="0" w:line="240" w:lineRule="auto"/>
            </w:pPr>
            <w:r>
              <w:rPr>
                <w:sz w:val="18"/>
              </w:rPr>
              <w:t>6421</w:t>
            </w:r>
          </w:p>
        </w:tc>
        <w:tc>
          <w:tcPr>
            <w:tcW w:w="1860" w:type="dxa"/>
            <w:tcMar>
              <w:top w:w="0" w:type="dxa"/>
              <w:bottom w:w="0" w:type="dxa"/>
            </w:tcMar>
            <w:vAlign w:val="center"/>
          </w:tcPr>
          <w:p w:rsidR="00AF38BA" w:rsidRDefault="006B7671">
            <w:pPr>
              <w:keepNext/>
              <w:keepLines/>
              <w:spacing w:after="0" w:line="240" w:lineRule="auto"/>
              <w:jc w:val="right"/>
            </w:pPr>
            <w:r>
              <w:rPr>
                <w:sz w:val="18"/>
              </w:rPr>
              <w:t>3.998.880,23</w:t>
            </w:r>
          </w:p>
        </w:tc>
        <w:tc>
          <w:tcPr>
            <w:tcW w:w="1860" w:type="dxa"/>
            <w:tcMar>
              <w:top w:w="0" w:type="dxa"/>
              <w:bottom w:w="0" w:type="dxa"/>
            </w:tcMar>
            <w:vAlign w:val="center"/>
          </w:tcPr>
          <w:p w:rsidR="00AF38BA" w:rsidRDefault="006B7671">
            <w:pPr>
              <w:keepNext/>
              <w:keepLines/>
              <w:spacing w:after="0" w:line="240" w:lineRule="auto"/>
              <w:jc w:val="right"/>
            </w:pPr>
            <w:r>
              <w:rPr>
                <w:sz w:val="18"/>
              </w:rPr>
              <w:t>3.630.814,80</w:t>
            </w:r>
          </w:p>
        </w:tc>
        <w:tc>
          <w:tcPr>
            <w:tcW w:w="700" w:type="dxa"/>
            <w:tcMar>
              <w:top w:w="0" w:type="dxa"/>
              <w:bottom w:w="0" w:type="dxa"/>
            </w:tcMar>
            <w:vAlign w:val="center"/>
          </w:tcPr>
          <w:p w:rsidR="00AF38BA" w:rsidRDefault="006B7671">
            <w:pPr>
              <w:keepNext/>
              <w:keepLines/>
              <w:spacing w:after="0" w:line="240" w:lineRule="auto"/>
              <w:jc w:val="right"/>
            </w:pPr>
            <w:r>
              <w:rPr>
                <w:sz w:val="18"/>
              </w:rPr>
              <w:t>90,8</w:t>
            </w:r>
          </w:p>
        </w:tc>
      </w:tr>
    </w:tbl>
    <w:p w:rsidR="00AF38BA" w:rsidRDefault="00AF38BA">
      <w:pPr>
        <w:spacing w:after="0"/>
      </w:pPr>
    </w:p>
    <w:p w:rsidR="00AF38BA" w:rsidRDefault="006B7671" w:rsidP="00187140">
      <w:pPr>
        <w:jc w:val="both"/>
      </w:pPr>
      <w:r>
        <w:t xml:space="preserve">Na navedeno, u najvećoj mjeri, utjecalo je smanjenje prihoda po osnovi naknade za upotrebu pomorskog dobra (u 2024. godini ostvareno je 1.258.045,14 eura, a u 2025. godini </w:t>
      </w:r>
      <w:r>
        <w:lastRenderedPageBreak/>
        <w:t>800.975,53  eura). Naime, Ministarstvo mora, prometa i infrastrukture je račune za naknadu za uporabu pomorskog dobra u 2023. godini ispostavilo tek krajem prosinca 2023. godine tako da je u 2024. godini prihodovana naknada za dvije godine što je iskrivilo polaznu osnovu za usporedbu prihoda dva razdoblja (2025. u odnosu na 2024. godinu).</w:t>
      </w:r>
    </w:p>
    <w:p w:rsidR="00AF38BA" w:rsidRDefault="00AF38BA"/>
    <w:p w:rsidR="00AF38BA" w:rsidRDefault="006B7671">
      <w:pPr>
        <w:keepNext/>
        <w:spacing w:line="240" w:lineRule="auto"/>
        <w:jc w:val="center"/>
      </w:pPr>
      <w:r>
        <w:rPr>
          <w:sz w:val="28"/>
        </w:rPr>
        <w:t>Bilješka 13.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F38BA">
        <w:trPr>
          <w:cantSplit/>
        </w:trPr>
        <w:tc>
          <w:tcPr>
            <w:tcW w:w="700" w:type="dxa"/>
            <w:shd w:val="clear" w:color="auto" w:fill="E7F0F9"/>
            <w:tcMar>
              <w:top w:w="0" w:type="dxa"/>
              <w:bottom w:w="0" w:type="dxa"/>
            </w:tcMar>
            <w:vAlign w:val="center"/>
          </w:tcPr>
          <w:p w:rsidR="00AF38BA" w:rsidRDefault="006B767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AF38BA" w:rsidRDefault="006B767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F38BA" w:rsidRDefault="006B767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F38BA" w:rsidRDefault="006B767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AF38BA" w:rsidRDefault="006B767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AF38BA" w:rsidRDefault="006B7671">
            <w:pPr>
              <w:keepNext/>
              <w:keepLines/>
              <w:spacing w:after="0" w:line="240" w:lineRule="auto"/>
              <w:jc w:val="center"/>
            </w:pPr>
            <w:r>
              <w:rPr>
                <w:b/>
                <w:sz w:val="18"/>
              </w:rPr>
              <w:t>Indeks (%)</w:t>
            </w:r>
          </w:p>
        </w:tc>
      </w:tr>
      <w:tr w:rsidR="00AF38BA">
        <w:trPr>
          <w:cantSplit/>
          <w:trHeight w:val="560"/>
        </w:trPr>
        <w:tc>
          <w:tcPr>
            <w:tcW w:w="700" w:type="dxa"/>
            <w:tcMar>
              <w:top w:w="0" w:type="dxa"/>
              <w:bottom w:w="0" w:type="dxa"/>
            </w:tcMar>
            <w:vAlign w:val="center"/>
          </w:tcPr>
          <w:p w:rsidR="00AF38BA" w:rsidRDefault="006B7671">
            <w:pPr>
              <w:keepNext/>
              <w:keepLines/>
              <w:spacing w:after="0" w:line="240" w:lineRule="auto"/>
            </w:pPr>
            <w:r>
              <w:rPr>
                <w:sz w:val="18"/>
              </w:rPr>
              <w:t>6422</w:t>
            </w:r>
          </w:p>
        </w:tc>
        <w:tc>
          <w:tcPr>
            <w:tcW w:w="3180" w:type="dxa"/>
            <w:tcMar>
              <w:top w:w="0" w:type="dxa"/>
              <w:bottom w:w="0" w:type="dxa"/>
            </w:tcMar>
            <w:vAlign w:val="center"/>
          </w:tcPr>
          <w:p w:rsidR="00AF38BA" w:rsidRDefault="006B7671">
            <w:pPr>
              <w:keepNext/>
              <w:keepLines/>
              <w:spacing w:after="0" w:line="240" w:lineRule="auto"/>
            </w:pPr>
            <w:r>
              <w:rPr>
                <w:sz w:val="18"/>
              </w:rPr>
              <w:t>Prihodi od zakupa i iznajmljivanja imovine</w:t>
            </w:r>
          </w:p>
        </w:tc>
        <w:tc>
          <w:tcPr>
            <w:tcW w:w="700" w:type="dxa"/>
            <w:tcMar>
              <w:top w:w="0" w:type="dxa"/>
              <w:bottom w:w="0" w:type="dxa"/>
            </w:tcMar>
            <w:vAlign w:val="center"/>
          </w:tcPr>
          <w:p w:rsidR="00AF38BA" w:rsidRDefault="006B7671">
            <w:pPr>
              <w:keepNext/>
              <w:keepLines/>
              <w:spacing w:after="0" w:line="240" w:lineRule="auto"/>
            </w:pPr>
            <w:r>
              <w:rPr>
                <w:sz w:val="18"/>
              </w:rPr>
              <w:t>6422</w:t>
            </w:r>
          </w:p>
        </w:tc>
        <w:tc>
          <w:tcPr>
            <w:tcW w:w="1860" w:type="dxa"/>
            <w:tcMar>
              <w:top w:w="0" w:type="dxa"/>
              <w:bottom w:w="0" w:type="dxa"/>
            </w:tcMar>
            <w:vAlign w:val="center"/>
          </w:tcPr>
          <w:p w:rsidR="00AF38BA" w:rsidRDefault="006B7671">
            <w:pPr>
              <w:keepNext/>
              <w:keepLines/>
              <w:spacing w:after="0" w:line="240" w:lineRule="auto"/>
              <w:jc w:val="right"/>
            </w:pPr>
            <w:r>
              <w:rPr>
                <w:sz w:val="18"/>
              </w:rPr>
              <w:t>828.292,26</w:t>
            </w:r>
          </w:p>
        </w:tc>
        <w:tc>
          <w:tcPr>
            <w:tcW w:w="1860" w:type="dxa"/>
            <w:tcMar>
              <w:top w:w="0" w:type="dxa"/>
              <w:bottom w:w="0" w:type="dxa"/>
            </w:tcMar>
            <w:vAlign w:val="center"/>
          </w:tcPr>
          <w:p w:rsidR="00AF38BA" w:rsidRDefault="006B7671">
            <w:pPr>
              <w:keepNext/>
              <w:keepLines/>
              <w:spacing w:after="0" w:line="240" w:lineRule="auto"/>
              <w:jc w:val="right"/>
            </w:pPr>
            <w:r>
              <w:rPr>
                <w:sz w:val="18"/>
              </w:rPr>
              <w:t>279.815,68</w:t>
            </w:r>
          </w:p>
        </w:tc>
        <w:tc>
          <w:tcPr>
            <w:tcW w:w="700" w:type="dxa"/>
            <w:tcMar>
              <w:top w:w="0" w:type="dxa"/>
              <w:bottom w:w="0" w:type="dxa"/>
            </w:tcMar>
            <w:vAlign w:val="center"/>
          </w:tcPr>
          <w:p w:rsidR="00AF38BA" w:rsidRDefault="006B7671">
            <w:pPr>
              <w:keepNext/>
              <w:keepLines/>
              <w:spacing w:after="0" w:line="240" w:lineRule="auto"/>
              <w:jc w:val="right"/>
            </w:pPr>
            <w:r>
              <w:rPr>
                <w:sz w:val="18"/>
              </w:rPr>
              <w:t>33,8</w:t>
            </w:r>
          </w:p>
        </w:tc>
      </w:tr>
    </w:tbl>
    <w:p w:rsidR="00AF38BA" w:rsidRDefault="00AF38BA">
      <w:pPr>
        <w:spacing w:after="0"/>
      </w:pPr>
    </w:p>
    <w:p w:rsidR="00AF38BA" w:rsidRDefault="006B7671" w:rsidP="00187140">
      <w:pPr>
        <w:jc w:val="both"/>
      </w:pPr>
      <w:r>
        <w:t>Predmetno smanjenje, u najvećoj mjeri, rezultat je smanjenja ostvarenog prihoda od zakupa dijelova kampa u vlasništvu Republike Hrvatske (u 2024. godini ostvareno je 651.256,88 eura, a u 2025. godini 203.386,37 eura) te prihoda od zakupa turističkog zemljišta na kojemu su izgrađeni hoteli i turistička naselja (u 2024. godini ostvareno je 157.870,96 eura, a u 2025. godini 55.916,69 eura).</w:t>
      </w:r>
    </w:p>
    <w:p w:rsidR="00AF38BA" w:rsidRDefault="00AF38BA"/>
    <w:p w:rsidR="00AF38BA" w:rsidRDefault="006B7671">
      <w:pPr>
        <w:keepNext/>
        <w:spacing w:line="240" w:lineRule="auto"/>
        <w:jc w:val="center"/>
      </w:pPr>
      <w:r>
        <w:rPr>
          <w:sz w:val="28"/>
        </w:rPr>
        <w:t>Bilješka 14.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F38BA">
        <w:trPr>
          <w:cantSplit/>
        </w:trPr>
        <w:tc>
          <w:tcPr>
            <w:tcW w:w="700" w:type="dxa"/>
            <w:shd w:val="clear" w:color="auto" w:fill="E7F0F9"/>
            <w:tcMar>
              <w:top w:w="0" w:type="dxa"/>
              <w:bottom w:w="0" w:type="dxa"/>
            </w:tcMar>
            <w:vAlign w:val="center"/>
          </w:tcPr>
          <w:p w:rsidR="00AF38BA" w:rsidRDefault="006B767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AF38BA" w:rsidRDefault="006B767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F38BA" w:rsidRDefault="006B767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F38BA" w:rsidRDefault="006B767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AF38BA" w:rsidRDefault="006B767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AF38BA" w:rsidRDefault="006B7671">
            <w:pPr>
              <w:keepNext/>
              <w:keepLines/>
              <w:spacing w:after="0" w:line="240" w:lineRule="auto"/>
              <w:jc w:val="center"/>
            </w:pPr>
            <w:r>
              <w:rPr>
                <w:b/>
                <w:sz w:val="18"/>
              </w:rPr>
              <w:t>Indeks (%)</w:t>
            </w:r>
          </w:p>
        </w:tc>
      </w:tr>
      <w:tr w:rsidR="00AF38BA">
        <w:trPr>
          <w:cantSplit/>
          <w:trHeight w:val="560"/>
        </w:trPr>
        <w:tc>
          <w:tcPr>
            <w:tcW w:w="700" w:type="dxa"/>
            <w:tcMar>
              <w:top w:w="0" w:type="dxa"/>
              <w:bottom w:w="0" w:type="dxa"/>
            </w:tcMar>
            <w:vAlign w:val="center"/>
          </w:tcPr>
          <w:p w:rsidR="00AF38BA" w:rsidRDefault="006B7671">
            <w:pPr>
              <w:keepNext/>
              <w:keepLines/>
              <w:spacing w:after="0" w:line="240" w:lineRule="auto"/>
            </w:pPr>
            <w:r>
              <w:rPr>
                <w:sz w:val="18"/>
              </w:rPr>
              <w:t>6514</w:t>
            </w:r>
          </w:p>
        </w:tc>
        <w:tc>
          <w:tcPr>
            <w:tcW w:w="3180" w:type="dxa"/>
            <w:tcMar>
              <w:top w:w="0" w:type="dxa"/>
              <w:bottom w:w="0" w:type="dxa"/>
            </w:tcMar>
            <w:vAlign w:val="center"/>
          </w:tcPr>
          <w:p w:rsidR="00AF38BA" w:rsidRDefault="006B7671">
            <w:pPr>
              <w:keepNext/>
              <w:keepLines/>
              <w:spacing w:after="0" w:line="240" w:lineRule="auto"/>
            </w:pPr>
            <w:r>
              <w:rPr>
                <w:sz w:val="18"/>
              </w:rPr>
              <w:t>Ostale pristojbe i naknade</w:t>
            </w:r>
          </w:p>
        </w:tc>
        <w:tc>
          <w:tcPr>
            <w:tcW w:w="700" w:type="dxa"/>
            <w:tcMar>
              <w:top w:w="0" w:type="dxa"/>
              <w:bottom w:w="0" w:type="dxa"/>
            </w:tcMar>
            <w:vAlign w:val="center"/>
          </w:tcPr>
          <w:p w:rsidR="00AF38BA" w:rsidRDefault="006B7671">
            <w:pPr>
              <w:keepNext/>
              <w:keepLines/>
              <w:spacing w:after="0" w:line="240" w:lineRule="auto"/>
            </w:pPr>
            <w:r>
              <w:rPr>
                <w:sz w:val="18"/>
              </w:rPr>
              <w:t>6514</w:t>
            </w:r>
          </w:p>
        </w:tc>
        <w:tc>
          <w:tcPr>
            <w:tcW w:w="1860" w:type="dxa"/>
            <w:tcMar>
              <w:top w:w="0" w:type="dxa"/>
              <w:bottom w:w="0" w:type="dxa"/>
            </w:tcMar>
            <w:vAlign w:val="center"/>
          </w:tcPr>
          <w:p w:rsidR="00AF38BA" w:rsidRDefault="006B7671">
            <w:pPr>
              <w:keepNext/>
              <w:keepLines/>
              <w:spacing w:after="0" w:line="240" w:lineRule="auto"/>
              <w:jc w:val="right"/>
            </w:pPr>
            <w:r>
              <w:rPr>
                <w:sz w:val="18"/>
              </w:rPr>
              <w:t>129.645,87</w:t>
            </w:r>
          </w:p>
        </w:tc>
        <w:tc>
          <w:tcPr>
            <w:tcW w:w="1860" w:type="dxa"/>
            <w:tcMar>
              <w:top w:w="0" w:type="dxa"/>
              <w:bottom w:w="0" w:type="dxa"/>
            </w:tcMar>
            <w:vAlign w:val="center"/>
          </w:tcPr>
          <w:p w:rsidR="00AF38BA" w:rsidRDefault="006B7671">
            <w:pPr>
              <w:keepNext/>
              <w:keepLines/>
              <w:spacing w:after="0" w:line="240" w:lineRule="auto"/>
              <w:jc w:val="right"/>
            </w:pPr>
            <w:r>
              <w:rPr>
                <w:sz w:val="18"/>
              </w:rPr>
              <w:t>219.487,43</w:t>
            </w:r>
          </w:p>
        </w:tc>
        <w:tc>
          <w:tcPr>
            <w:tcW w:w="700" w:type="dxa"/>
            <w:tcMar>
              <w:top w:w="0" w:type="dxa"/>
              <w:bottom w:w="0" w:type="dxa"/>
            </w:tcMar>
            <w:vAlign w:val="center"/>
          </w:tcPr>
          <w:p w:rsidR="00AF38BA" w:rsidRDefault="006B7671">
            <w:pPr>
              <w:keepNext/>
              <w:keepLines/>
              <w:spacing w:after="0" w:line="240" w:lineRule="auto"/>
              <w:jc w:val="right"/>
            </w:pPr>
            <w:r>
              <w:rPr>
                <w:sz w:val="18"/>
              </w:rPr>
              <w:t>169,3</w:t>
            </w:r>
          </w:p>
        </w:tc>
      </w:tr>
    </w:tbl>
    <w:p w:rsidR="00AF38BA" w:rsidRDefault="00AF38BA">
      <w:pPr>
        <w:spacing w:after="0"/>
      </w:pPr>
    </w:p>
    <w:p w:rsidR="00AF38BA" w:rsidRDefault="006B7671" w:rsidP="00187140">
      <w:pPr>
        <w:jc w:val="both"/>
      </w:pPr>
      <w:r>
        <w:t>Navedeno je prihod Županije po osnovi naknade za promjenu namjene poljoprivrednog zemljišta. Sukladno članku 25. stavak 6. Zakona o izmjenama i dopunama Zakona o poljoprivrednom zemljištu („Narodne novine“, broj 57/22), koji je stupio na snagu 28. svibnja 2022. godine, sredstva ostvarena od naknade za promjenu namjene poljoprivrednog zemljišta prihod su jedinica područne (regionalne) samouprave 70% i 30% jedinica lokalne samouprave odnosno Grada Zagreba, na čijem se području poljoprivredno zemljište nalazi. </w:t>
      </w:r>
    </w:p>
    <w:p w:rsidR="00AF38BA" w:rsidRDefault="00AF38BA"/>
    <w:p w:rsidR="00AF38BA" w:rsidRDefault="006B7671">
      <w:pPr>
        <w:keepNext/>
        <w:spacing w:line="240" w:lineRule="auto"/>
        <w:jc w:val="center"/>
      </w:pPr>
      <w:r>
        <w:rPr>
          <w:sz w:val="28"/>
        </w:rPr>
        <w:t>Bilješka 15.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F38BA">
        <w:trPr>
          <w:cantSplit/>
        </w:trPr>
        <w:tc>
          <w:tcPr>
            <w:tcW w:w="700" w:type="dxa"/>
            <w:shd w:val="clear" w:color="auto" w:fill="E7F0F9"/>
            <w:tcMar>
              <w:top w:w="0" w:type="dxa"/>
              <w:bottom w:w="0" w:type="dxa"/>
            </w:tcMar>
            <w:vAlign w:val="center"/>
          </w:tcPr>
          <w:p w:rsidR="00AF38BA" w:rsidRDefault="006B767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AF38BA" w:rsidRDefault="006B767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F38BA" w:rsidRDefault="006B767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F38BA" w:rsidRDefault="006B767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AF38BA" w:rsidRDefault="006B767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AF38BA" w:rsidRDefault="006B7671">
            <w:pPr>
              <w:keepNext/>
              <w:keepLines/>
              <w:spacing w:after="0" w:line="240" w:lineRule="auto"/>
              <w:jc w:val="center"/>
            </w:pPr>
            <w:r>
              <w:rPr>
                <w:b/>
                <w:sz w:val="18"/>
              </w:rPr>
              <w:t>Indeks (%)</w:t>
            </w:r>
          </w:p>
        </w:tc>
      </w:tr>
      <w:tr w:rsidR="00AF38BA">
        <w:trPr>
          <w:cantSplit/>
          <w:trHeight w:val="560"/>
        </w:trPr>
        <w:tc>
          <w:tcPr>
            <w:tcW w:w="700" w:type="dxa"/>
            <w:tcMar>
              <w:top w:w="0" w:type="dxa"/>
              <w:bottom w:w="0" w:type="dxa"/>
            </w:tcMar>
            <w:vAlign w:val="center"/>
          </w:tcPr>
          <w:p w:rsidR="00AF38BA" w:rsidRDefault="006B7671">
            <w:pPr>
              <w:keepNext/>
              <w:keepLines/>
              <w:spacing w:after="0" w:line="240" w:lineRule="auto"/>
            </w:pPr>
            <w:r>
              <w:rPr>
                <w:sz w:val="18"/>
              </w:rPr>
              <w:t>311</w:t>
            </w:r>
          </w:p>
        </w:tc>
        <w:tc>
          <w:tcPr>
            <w:tcW w:w="3180" w:type="dxa"/>
            <w:tcMar>
              <w:top w:w="0" w:type="dxa"/>
              <w:bottom w:w="0" w:type="dxa"/>
            </w:tcMar>
            <w:vAlign w:val="center"/>
          </w:tcPr>
          <w:p w:rsidR="00AF38BA" w:rsidRDefault="006B7671">
            <w:pPr>
              <w:keepNext/>
              <w:keepLines/>
              <w:spacing w:after="0" w:line="240" w:lineRule="auto"/>
            </w:pPr>
            <w:r>
              <w:rPr>
                <w:sz w:val="18"/>
              </w:rPr>
              <w:t>Plaće (bruto) (šifre 3111 do 3114)</w:t>
            </w:r>
          </w:p>
        </w:tc>
        <w:tc>
          <w:tcPr>
            <w:tcW w:w="700" w:type="dxa"/>
            <w:tcMar>
              <w:top w:w="0" w:type="dxa"/>
              <w:bottom w:w="0" w:type="dxa"/>
            </w:tcMar>
            <w:vAlign w:val="center"/>
          </w:tcPr>
          <w:p w:rsidR="00AF38BA" w:rsidRDefault="006B7671">
            <w:pPr>
              <w:keepNext/>
              <w:keepLines/>
              <w:spacing w:after="0" w:line="240" w:lineRule="auto"/>
            </w:pPr>
            <w:r>
              <w:rPr>
                <w:sz w:val="18"/>
              </w:rPr>
              <w:t>311</w:t>
            </w:r>
          </w:p>
        </w:tc>
        <w:tc>
          <w:tcPr>
            <w:tcW w:w="1860" w:type="dxa"/>
            <w:tcMar>
              <w:top w:w="0" w:type="dxa"/>
              <w:bottom w:w="0" w:type="dxa"/>
            </w:tcMar>
            <w:vAlign w:val="center"/>
          </w:tcPr>
          <w:p w:rsidR="00AF38BA" w:rsidRDefault="006B7671">
            <w:pPr>
              <w:keepNext/>
              <w:keepLines/>
              <w:spacing w:after="0" w:line="240" w:lineRule="auto"/>
              <w:jc w:val="right"/>
            </w:pPr>
            <w:r>
              <w:rPr>
                <w:sz w:val="18"/>
              </w:rPr>
              <w:t>8.355.821,62</w:t>
            </w:r>
          </w:p>
        </w:tc>
        <w:tc>
          <w:tcPr>
            <w:tcW w:w="1860" w:type="dxa"/>
            <w:tcMar>
              <w:top w:w="0" w:type="dxa"/>
              <w:bottom w:w="0" w:type="dxa"/>
            </w:tcMar>
            <w:vAlign w:val="center"/>
          </w:tcPr>
          <w:p w:rsidR="00AF38BA" w:rsidRDefault="006B7671">
            <w:pPr>
              <w:keepNext/>
              <w:keepLines/>
              <w:spacing w:after="0" w:line="240" w:lineRule="auto"/>
              <w:jc w:val="right"/>
            </w:pPr>
            <w:r>
              <w:rPr>
                <w:sz w:val="18"/>
              </w:rPr>
              <w:t>11.047.503,69</w:t>
            </w:r>
          </w:p>
        </w:tc>
        <w:tc>
          <w:tcPr>
            <w:tcW w:w="700" w:type="dxa"/>
            <w:tcMar>
              <w:top w:w="0" w:type="dxa"/>
              <w:bottom w:w="0" w:type="dxa"/>
            </w:tcMar>
            <w:vAlign w:val="center"/>
          </w:tcPr>
          <w:p w:rsidR="00AF38BA" w:rsidRDefault="006B7671">
            <w:pPr>
              <w:keepNext/>
              <w:keepLines/>
              <w:spacing w:after="0" w:line="240" w:lineRule="auto"/>
              <w:jc w:val="right"/>
            </w:pPr>
            <w:r>
              <w:rPr>
                <w:sz w:val="18"/>
              </w:rPr>
              <w:t>132,2</w:t>
            </w:r>
          </w:p>
        </w:tc>
      </w:tr>
    </w:tbl>
    <w:p w:rsidR="00AF38BA" w:rsidRDefault="00AF38BA">
      <w:pPr>
        <w:spacing w:after="0"/>
      </w:pPr>
    </w:p>
    <w:p w:rsidR="00AF38BA" w:rsidRDefault="006B7671" w:rsidP="00187140">
      <w:pPr>
        <w:jc w:val="both"/>
      </w:pPr>
      <w:r>
        <w:t>Navedeno povećanje rashoda, u najvećoj mjeri, je rezultat povećanja osnovice za obračun plaće službenika i namještenika u upravnim tijelima Primorsko-goranske županije u listopadu 2024. godine za 10% i siječnju 2025. godine za 20%, te povećanja koeficijenata za obračun plaće službenika i namještenika u upravnim tijelima Primorsko-goranske županije u travnju 2024. godine.</w:t>
      </w:r>
    </w:p>
    <w:p w:rsidR="00AF38BA" w:rsidRDefault="006B7671">
      <w:pPr>
        <w:keepNext/>
        <w:spacing w:line="240" w:lineRule="auto"/>
        <w:jc w:val="center"/>
      </w:pPr>
      <w:r>
        <w:rPr>
          <w:sz w:val="28"/>
        </w:rPr>
        <w:lastRenderedPageBreak/>
        <w:t>Bilješka 16.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F38BA">
        <w:trPr>
          <w:cantSplit/>
        </w:trPr>
        <w:tc>
          <w:tcPr>
            <w:tcW w:w="700" w:type="dxa"/>
            <w:shd w:val="clear" w:color="auto" w:fill="E7F0F9"/>
            <w:tcMar>
              <w:top w:w="0" w:type="dxa"/>
              <w:bottom w:w="0" w:type="dxa"/>
            </w:tcMar>
            <w:vAlign w:val="center"/>
          </w:tcPr>
          <w:p w:rsidR="00AF38BA" w:rsidRDefault="006B767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AF38BA" w:rsidRDefault="006B767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F38BA" w:rsidRDefault="006B767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F38BA" w:rsidRDefault="006B767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AF38BA" w:rsidRDefault="006B767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AF38BA" w:rsidRDefault="006B7671">
            <w:pPr>
              <w:keepNext/>
              <w:keepLines/>
              <w:spacing w:after="0" w:line="240" w:lineRule="auto"/>
              <w:jc w:val="center"/>
            </w:pPr>
            <w:r>
              <w:rPr>
                <w:b/>
                <w:sz w:val="18"/>
              </w:rPr>
              <w:t>Indeks (%)</w:t>
            </w:r>
          </w:p>
        </w:tc>
      </w:tr>
      <w:tr w:rsidR="00AF38BA">
        <w:trPr>
          <w:cantSplit/>
          <w:trHeight w:val="560"/>
        </w:trPr>
        <w:tc>
          <w:tcPr>
            <w:tcW w:w="700" w:type="dxa"/>
            <w:tcMar>
              <w:top w:w="0" w:type="dxa"/>
              <w:bottom w:w="0" w:type="dxa"/>
            </w:tcMar>
            <w:vAlign w:val="center"/>
          </w:tcPr>
          <w:p w:rsidR="00AF38BA" w:rsidRDefault="006B7671">
            <w:pPr>
              <w:keepNext/>
              <w:keepLines/>
              <w:spacing w:after="0" w:line="240" w:lineRule="auto"/>
            </w:pPr>
            <w:r>
              <w:rPr>
                <w:sz w:val="18"/>
              </w:rPr>
              <w:t>3239</w:t>
            </w:r>
          </w:p>
        </w:tc>
        <w:tc>
          <w:tcPr>
            <w:tcW w:w="3180" w:type="dxa"/>
            <w:tcMar>
              <w:top w:w="0" w:type="dxa"/>
              <w:bottom w:w="0" w:type="dxa"/>
            </w:tcMar>
            <w:vAlign w:val="center"/>
          </w:tcPr>
          <w:p w:rsidR="00AF38BA" w:rsidRDefault="006B7671">
            <w:pPr>
              <w:keepNext/>
              <w:keepLines/>
              <w:spacing w:after="0" w:line="240" w:lineRule="auto"/>
            </w:pPr>
            <w:r>
              <w:rPr>
                <w:sz w:val="18"/>
              </w:rPr>
              <w:t>Ostale usluge</w:t>
            </w:r>
          </w:p>
        </w:tc>
        <w:tc>
          <w:tcPr>
            <w:tcW w:w="700" w:type="dxa"/>
            <w:tcMar>
              <w:top w:w="0" w:type="dxa"/>
              <w:bottom w:w="0" w:type="dxa"/>
            </w:tcMar>
            <w:vAlign w:val="center"/>
          </w:tcPr>
          <w:p w:rsidR="00AF38BA" w:rsidRDefault="006B7671">
            <w:pPr>
              <w:keepNext/>
              <w:keepLines/>
              <w:spacing w:after="0" w:line="240" w:lineRule="auto"/>
            </w:pPr>
            <w:r>
              <w:rPr>
                <w:sz w:val="18"/>
              </w:rPr>
              <w:t>3239</w:t>
            </w:r>
          </w:p>
        </w:tc>
        <w:tc>
          <w:tcPr>
            <w:tcW w:w="1860" w:type="dxa"/>
            <w:tcMar>
              <w:top w:w="0" w:type="dxa"/>
              <w:bottom w:w="0" w:type="dxa"/>
            </w:tcMar>
            <w:vAlign w:val="center"/>
          </w:tcPr>
          <w:p w:rsidR="00AF38BA" w:rsidRDefault="006B7671">
            <w:pPr>
              <w:keepNext/>
              <w:keepLines/>
              <w:spacing w:after="0" w:line="240" w:lineRule="auto"/>
              <w:jc w:val="right"/>
            </w:pPr>
            <w:r>
              <w:rPr>
                <w:sz w:val="18"/>
              </w:rPr>
              <w:t>1.164.457,88</w:t>
            </w:r>
          </w:p>
        </w:tc>
        <w:tc>
          <w:tcPr>
            <w:tcW w:w="1860" w:type="dxa"/>
            <w:tcMar>
              <w:top w:w="0" w:type="dxa"/>
              <w:bottom w:w="0" w:type="dxa"/>
            </w:tcMar>
            <w:vAlign w:val="center"/>
          </w:tcPr>
          <w:p w:rsidR="00AF38BA" w:rsidRDefault="006B7671">
            <w:pPr>
              <w:keepNext/>
              <w:keepLines/>
              <w:spacing w:after="0" w:line="240" w:lineRule="auto"/>
              <w:jc w:val="right"/>
            </w:pPr>
            <w:r>
              <w:rPr>
                <w:sz w:val="18"/>
              </w:rPr>
              <w:t>1.385.227,15</w:t>
            </w:r>
          </w:p>
        </w:tc>
        <w:tc>
          <w:tcPr>
            <w:tcW w:w="700" w:type="dxa"/>
            <w:tcMar>
              <w:top w:w="0" w:type="dxa"/>
              <w:bottom w:w="0" w:type="dxa"/>
            </w:tcMar>
            <w:vAlign w:val="center"/>
          </w:tcPr>
          <w:p w:rsidR="00AF38BA" w:rsidRDefault="006B7671">
            <w:pPr>
              <w:keepNext/>
              <w:keepLines/>
              <w:spacing w:after="0" w:line="240" w:lineRule="auto"/>
              <w:jc w:val="right"/>
            </w:pPr>
            <w:r>
              <w:rPr>
                <w:sz w:val="18"/>
              </w:rPr>
              <w:t>119,0</w:t>
            </w:r>
          </w:p>
        </w:tc>
      </w:tr>
    </w:tbl>
    <w:p w:rsidR="00AF38BA" w:rsidRDefault="00AF38BA">
      <w:pPr>
        <w:spacing w:after="0"/>
      </w:pPr>
    </w:p>
    <w:p w:rsidR="00AF38BA" w:rsidRDefault="006B7671" w:rsidP="00187140">
      <w:pPr>
        <w:jc w:val="both"/>
      </w:pPr>
      <w:r>
        <w:t>Predmetno povećanje, u najvećoj mjeri, rezultat je povećanja rashoda za obračunatu naknadu Porezne uprave (u 2024. godini iznose 639.915,39 eura, a u 2025. godini 770.020,80 eura), a zbog veće naplate poreznih prihoda (poreza na dohodak, poreza na nekretnine i  županijskih poreza). Naime, naknada Porezne uprave se utvrđuje u visini 5% od ukupno naplaćenog prihoda od županijskih poreza i poreza na nekretnine, te 1% od ukupno naplaćenog prihoda od poreza na dohodak koji pripada Primorsko-goranskoj županiji.</w:t>
      </w:r>
    </w:p>
    <w:p w:rsidR="00AF38BA" w:rsidRDefault="00AF38BA"/>
    <w:p w:rsidR="00AF38BA" w:rsidRDefault="006B7671">
      <w:pPr>
        <w:keepNext/>
        <w:spacing w:line="240" w:lineRule="auto"/>
        <w:jc w:val="center"/>
      </w:pPr>
      <w:r>
        <w:rPr>
          <w:sz w:val="28"/>
        </w:rPr>
        <w:t>Bilješka 17.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F38BA">
        <w:trPr>
          <w:cantSplit/>
        </w:trPr>
        <w:tc>
          <w:tcPr>
            <w:tcW w:w="700" w:type="dxa"/>
            <w:shd w:val="clear" w:color="auto" w:fill="E7F0F9"/>
            <w:tcMar>
              <w:top w:w="0" w:type="dxa"/>
              <w:bottom w:w="0" w:type="dxa"/>
            </w:tcMar>
            <w:vAlign w:val="center"/>
          </w:tcPr>
          <w:p w:rsidR="00AF38BA" w:rsidRDefault="006B767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AF38BA" w:rsidRDefault="006B767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F38BA" w:rsidRDefault="006B767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F38BA" w:rsidRDefault="006B767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AF38BA" w:rsidRDefault="006B767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AF38BA" w:rsidRDefault="006B7671">
            <w:pPr>
              <w:keepNext/>
              <w:keepLines/>
              <w:spacing w:after="0" w:line="240" w:lineRule="auto"/>
              <w:jc w:val="center"/>
            </w:pPr>
            <w:r>
              <w:rPr>
                <w:b/>
                <w:sz w:val="18"/>
              </w:rPr>
              <w:t>Indeks (%)</w:t>
            </w:r>
          </w:p>
        </w:tc>
      </w:tr>
      <w:tr w:rsidR="00AF38BA">
        <w:trPr>
          <w:cantSplit/>
          <w:trHeight w:val="560"/>
        </w:trPr>
        <w:tc>
          <w:tcPr>
            <w:tcW w:w="700" w:type="dxa"/>
            <w:tcMar>
              <w:top w:w="0" w:type="dxa"/>
              <w:bottom w:w="0" w:type="dxa"/>
            </w:tcMar>
            <w:vAlign w:val="center"/>
          </w:tcPr>
          <w:p w:rsidR="00AF38BA" w:rsidRDefault="006B7671">
            <w:pPr>
              <w:keepNext/>
              <w:keepLines/>
              <w:spacing w:after="0" w:line="240" w:lineRule="auto"/>
            </w:pPr>
            <w:r>
              <w:rPr>
                <w:sz w:val="18"/>
              </w:rPr>
              <w:t>3512</w:t>
            </w:r>
          </w:p>
        </w:tc>
        <w:tc>
          <w:tcPr>
            <w:tcW w:w="3180" w:type="dxa"/>
            <w:tcMar>
              <w:top w:w="0" w:type="dxa"/>
              <w:bottom w:w="0" w:type="dxa"/>
            </w:tcMar>
            <w:vAlign w:val="center"/>
          </w:tcPr>
          <w:p w:rsidR="00AF38BA" w:rsidRDefault="006B7671">
            <w:pPr>
              <w:keepNext/>
              <w:keepLines/>
              <w:spacing w:after="0" w:line="240" w:lineRule="auto"/>
            </w:pPr>
            <w:r>
              <w:rPr>
                <w:sz w:val="18"/>
              </w:rPr>
              <w:t>Subvencije trgovačkim društvima u javnom sektoru</w:t>
            </w:r>
          </w:p>
        </w:tc>
        <w:tc>
          <w:tcPr>
            <w:tcW w:w="700" w:type="dxa"/>
            <w:tcMar>
              <w:top w:w="0" w:type="dxa"/>
              <w:bottom w:w="0" w:type="dxa"/>
            </w:tcMar>
            <w:vAlign w:val="center"/>
          </w:tcPr>
          <w:p w:rsidR="00AF38BA" w:rsidRDefault="006B7671">
            <w:pPr>
              <w:keepNext/>
              <w:keepLines/>
              <w:spacing w:after="0" w:line="240" w:lineRule="auto"/>
            </w:pPr>
            <w:r>
              <w:rPr>
                <w:sz w:val="18"/>
              </w:rPr>
              <w:t>3512</w:t>
            </w:r>
          </w:p>
        </w:tc>
        <w:tc>
          <w:tcPr>
            <w:tcW w:w="1860" w:type="dxa"/>
            <w:tcMar>
              <w:top w:w="0" w:type="dxa"/>
              <w:bottom w:w="0" w:type="dxa"/>
            </w:tcMar>
            <w:vAlign w:val="center"/>
          </w:tcPr>
          <w:p w:rsidR="00AF38BA" w:rsidRDefault="006B7671">
            <w:pPr>
              <w:keepNext/>
              <w:keepLines/>
              <w:spacing w:after="0" w:line="240" w:lineRule="auto"/>
              <w:jc w:val="right"/>
            </w:pPr>
            <w:r>
              <w:rPr>
                <w:sz w:val="18"/>
              </w:rPr>
              <w:t>975.100,00</w:t>
            </w:r>
          </w:p>
        </w:tc>
        <w:tc>
          <w:tcPr>
            <w:tcW w:w="1860" w:type="dxa"/>
            <w:tcMar>
              <w:top w:w="0" w:type="dxa"/>
              <w:bottom w:w="0" w:type="dxa"/>
            </w:tcMar>
            <w:vAlign w:val="center"/>
          </w:tcPr>
          <w:p w:rsidR="00AF38BA" w:rsidRDefault="006B7671">
            <w:pPr>
              <w:keepNext/>
              <w:keepLines/>
              <w:spacing w:after="0" w:line="240" w:lineRule="auto"/>
              <w:jc w:val="right"/>
            </w:pPr>
            <w:r>
              <w:rPr>
                <w:sz w:val="18"/>
              </w:rPr>
              <w:t>1.300.100,00</w:t>
            </w:r>
          </w:p>
        </w:tc>
        <w:tc>
          <w:tcPr>
            <w:tcW w:w="700" w:type="dxa"/>
            <w:tcMar>
              <w:top w:w="0" w:type="dxa"/>
              <w:bottom w:w="0" w:type="dxa"/>
            </w:tcMar>
            <w:vAlign w:val="center"/>
          </w:tcPr>
          <w:p w:rsidR="00AF38BA" w:rsidRDefault="006B7671">
            <w:pPr>
              <w:keepNext/>
              <w:keepLines/>
              <w:spacing w:after="0" w:line="240" w:lineRule="auto"/>
              <w:jc w:val="right"/>
            </w:pPr>
            <w:r>
              <w:rPr>
                <w:sz w:val="18"/>
              </w:rPr>
              <w:t>133,3</w:t>
            </w:r>
          </w:p>
        </w:tc>
      </w:tr>
    </w:tbl>
    <w:p w:rsidR="00AF38BA" w:rsidRDefault="00AF38BA">
      <w:pPr>
        <w:spacing w:after="0"/>
      </w:pPr>
    </w:p>
    <w:p w:rsidR="00AF38BA" w:rsidRDefault="006B7671" w:rsidP="00187140">
      <w:pPr>
        <w:jc w:val="both"/>
      </w:pPr>
      <w:r>
        <w:t xml:space="preserve">Predmetni rashod ostvaren je u okviru programa Poticanje i promicanje sporta, i to za aktivnosti Upravljanje RSRTC </w:t>
      </w:r>
      <w:proofErr w:type="spellStart"/>
      <w:r>
        <w:t>Platak</w:t>
      </w:r>
      <w:proofErr w:type="spellEnd"/>
      <w:r>
        <w:t xml:space="preserve"> - Goranski sportski centar d.o.o. (u 2024. godini iznosi 625.500,00 eura, a u 2025. godini 841.500,00 eura), te Centar bazičnih sportskih priprema - Goranski sportski centar d.o.o. (u 2024. godini iznosi 349.600,00 eura, a u 2025. godini 458.600,00 eura).</w:t>
      </w:r>
    </w:p>
    <w:p w:rsidR="00AF38BA" w:rsidRDefault="00AF38BA"/>
    <w:p w:rsidR="00AF38BA" w:rsidRDefault="006B7671">
      <w:pPr>
        <w:keepNext/>
        <w:spacing w:line="240" w:lineRule="auto"/>
        <w:jc w:val="center"/>
      </w:pPr>
      <w:r>
        <w:rPr>
          <w:sz w:val="28"/>
        </w:rPr>
        <w:t>Bilješka 18.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F38BA">
        <w:trPr>
          <w:cantSplit/>
        </w:trPr>
        <w:tc>
          <w:tcPr>
            <w:tcW w:w="700" w:type="dxa"/>
            <w:shd w:val="clear" w:color="auto" w:fill="E7F0F9"/>
            <w:tcMar>
              <w:top w:w="0" w:type="dxa"/>
              <w:bottom w:w="0" w:type="dxa"/>
            </w:tcMar>
            <w:vAlign w:val="center"/>
          </w:tcPr>
          <w:p w:rsidR="00AF38BA" w:rsidRDefault="006B767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AF38BA" w:rsidRDefault="006B767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F38BA" w:rsidRDefault="006B767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F38BA" w:rsidRDefault="006B767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AF38BA" w:rsidRDefault="006B767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AF38BA" w:rsidRDefault="006B7671">
            <w:pPr>
              <w:keepNext/>
              <w:keepLines/>
              <w:spacing w:after="0" w:line="240" w:lineRule="auto"/>
              <w:jc w:val="center"/>
            </w:pPr>
            <w:r>
              <w:rPr>
                <w:b/>
                <w:sz w:val="18"/>
              </w:rPr>
              <w:t>Indeks (%)</w:t>
            </w:r>
          </w:p>
        </w:tc>
      </w:tr>
      <w:tr w:rsidR="00AF38BA">
        <w:trPr>
          <w:cantSplit/>
          <w:trHeight w:val="560"/>
        </w:trPr>
        <w:tc>
          <w:tcPr>
            <w:tcW w:w="700" w:type="dxa"/>
            <w:tcMar>
              <w:top w:w="0" w:type="dxa"/>
              <w:bottom w:w="0" w:type="dxa"/>
            </w:tcMar>
            <w:vAlign w:val="center"/>
          </w:tcPr>
          <w:p w:rsidR="00AF38BA" w:rsidRDefault="006B7671">
            <w:pPr>
              <w:keepNext/>
              <w:keepLines/>
              <w:spacing w:after="0" w:line="240" w:lineRule="auto"/>
            </w:pPr>
            <w:r>
              <w:rPr>
                <w:sz w:val="18"/>
              </w:rPr>
              <w:t>3611</w:t>
            </w:r>
          </w:p>
        </w:tc>
        <w:tc>
          <w:tcPr>
            <w:tcW w:w="3180" w:type="dxa"/>
            <w:tcMar>
              <w:top w:w="0" w:type="dxa"/>
              <w:bottom w:w="0" w:type="dxa"/>
            </w:tcMar>
            <w:vAlign w:val="center"/>
          </w:tcPr>
          <w:p w:rsidR="00AF38BA" w:rsidRDefault="006B7671">
            <w:pPr>
              <w:keepNext/>
              <w:keepLines/>
              <w:spacing w:after="0" w:line="240" w:lineRule="auto"/>
            </w:pPr>
            <w:r>
              <w:rPr>
                <w:sz w:val="18"/>
              </w:rPr>
              <w:t>Tekuće pomoći inozemnim vladama</w:t>
            </w:r>
          </w:p>
        </w:tc>
        <w:tc>
          <w:tcPr>
            <w:tcW w:w="700" w:type="dxa"/>
            <w:tcMar>
              <w:top w:w="0" w:type="dxa"/>
              <w:bottom w:w="0" w:type="dxa"/>
            </w:tcMar>
            <w:vAlign w:val="center"/>
          </w:tcPr>
          <w:p w:rsidR="00AF38BA" w:rsidRDefault="006B7671">
            <w:pPr>
              <w:keepNext/>
              <w:keepLines/>
              <w:spacing w:after="0" w:line="240" w:lineRule="auto"/>
            </w:pPr>
            <w:r>
              <w:rPr>
                <w:sz w:val="18"/>
              </w:rPr>
              <w:t>3611</w:t>
            </w:r>
          </w:p>
        </w:tc>
        <w:tc>
          <w:tcPr>
            <w:tcW w:w="1860" w:type="dxa"/>
            <w:tcMar>
              <w:top w:w="0" w:type="dxa"/>
              <w:bottom w:w="0" w:type="dxa"/>
            </w:tcMar>
            <w:vAlign w:val="center"/>
          </w:tcPr>
          <w:p w:rsidR="00AF38BA" w:rsidRDefault="006B7671">
            <w:pPr>
              <w:keepNext/>
              <w:keepLines/>
              <w:spacing w:after="0" w:line="240" w:lineRule="auto"/>
              <w:jc w:val="right"/>
            </w:pPr>
            <w:r>
              <w:rPr>
                <w:sz w:val="18"/>
              </w:rPr>
              <w:t>211.651,59</w:t>
            </w:r>
          </w:p>
        </w:tc>
        <w:tc>
          <w:tcPr>
            <w:tcW w:w="1860" w:type="dxa"/>
            <w:tcMar>
              <w:top w:w="0" w:type="dxa"/>
              <w:bottom w:w="0" w:type="dxa"/>
            </w:tcMar>
            <w:vAlign w:val="center"/>
          </w:tcPr>
          <w:p w:rsidR="00AF38BA" w:rsidRDefault="006B7671">
            <w:pPr>
              <w:keepNext/>
              <w:keepLines/>
              <w:spacing w:after="0" w:line="240" w:lineRule="auto"/>
              <w:jc w:val="right"/>
            </w:pPr>
            <w:r>
              <w:rPr>
                <w:sz w:val="18"/>
              </w:rPr>
              <w:t>497.276,34</w:t>
            </w:r>
          </w:p>
        </w:tc>
        <w:tc>
          <w:tcPr>
            <w:tcW w:w="700" w:type="dxa"/>
            <w:tcMar>
              <w:top w:w="0" w:type="dxa"/>
              <w:bottom w:w="0" w:type="dxa"/>
            </w:tcMar>
            <w:vAlign w:val="center"/>
          </w:tcPr>
          <w:p w:rsidR="00AF38BA" w:rsidRDefault="006B7671">
            <w:pPr>
              <w:keepNext/>
              <w:keepLines/>
              <w:spacing w:after="0" w:line="240" w:lineRule="auto"/>
              <w:jc w:val="right"/>
            </w:pPr>
            <w:r>
              <w:rPr>
                <w:sz w:val="18"/>
              </w:rPr>
              <w:t>235,0</w:t>
            </w:r>
          </w:p>
        </w:tc>
      </w:tr>
    </w:tbl>
    <w:p w:rsidR="00AF38BA" w:rsidRDefault="00AF38BA">
      <w:pPr>
        <w:spacing w:after="0"/>
      </w:pPr>
    </w:p>
    <w:p w:rsidR="00AF38BA" w:rsidRDefault="006B7671" w:rsidP="00187140">
      <w:pPr>
        <w:jc w:val="both"/>
      </w:pPr>
      <w:r>
        <w:t xml:space="preserve">Navedeno je rezultat isplaćenih pomoći projektnim partnerima, temeljem odobrenih zahtjeva za nadoknadom sredstava, u okviru EU projekata: </w:t>
      </w:r>
      <w:proofErr w:type="spellStart"/>
      <w:r>
        <w:t>Digi</w:t>
      </w:r>
      <w:proofErr w:type="spellEnd"/>
      <w:r>
        <w:t>-B-</w:t>
      </w:r>
      <w:proofErr w:type="spellStart"/>
      <w:r>
        <w:t>Well</w:t>
      </w:r>
      <w:proofErr w:type="spellEnd"/>
      <w:r>
        <w:t xml:space="preserve"> (u 2024. godini 10.000,00 eura, a u 2025. godini 344.105,91 eura), CENTINOSS (u 2024. godini 0,00 eura, a u 2025. godini 153.170,43 eura) i </w:t>
      </w:r>
      <w:proofErr w:type="spellStart"/>
      <w:r>
        <w:t>AdriPromTour</w:t>
      </w:r>
      <w:proofErr w:type="spellEnd"/>
      <w:r>
        <w:t xml:space="preserve"> (u 2024. godini 201.651,59 eura, a u 2025. godini 0,00 eura).</w:t>
      </w:r>
    </w:p>
    <w:p w:rsidR="00AF38BA" w:rsidRDefault="00AF38BA"/>
    <w:p w:rsidR="00AF38BA" w:rsidRDefault="006B7671">
      <w:pPr>
        <w:keepNext/>
        <w:spacing w:line="240" w:lineRule="auto"/>
        <w:jc w:val="center"/>
      </w:pPr>
      <w:r>
        <w:rPr>
          <w:sz w:val="28"/>
        </w:rPr>
        <w:lastRenderedPageBreak/>
        <w:t>Bilješka 19.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F38BA">
        <w:trPr>
          <w:cantSplit/>
        </w:trPr>
        <w:tc>
          <w:tcPr>
            <w:tcW w:w="700" w:type="dxa"/>
            <w:shd w:val="clear" w:color="auto" w:fill="E7F0F9"/>
            <w:tcMar>
              <w:top w:w="0" w:type="dxa"/>
              <w:bottom w:w="0" w:type="dxa"/>
            </w:tcMar>
            <w:vAlign w:val="center"/>
          </w:tcPr>
          <w:p w:rsidR="00AF38BA" w:rsidRDefault="006B767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AF38BA" w:rsidRDefault="006B767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F38BA" w:rsidRDefault="006B767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F38BA" w:rsidRDefault="006B767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AF38BA" w:rsidRDefault="006B767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AF38BA" w:rsidRDefault="006B7671">
            <w:pPr>
              <w:keepNext/>
              <w:keepLines/>
              <w:spacing w:after="0" w:line="240" w:lineRule="auto"/>
              <w:jc w:val="center"/>
            </w:pPr>
            <w:r>
              <w:rPr>
                <w:b/>
                <w:sz w:val="18"/>
              </w:rPr>
              <w:t>Indeks (%)</w:t>
            </w:r>
          </w:p>
        </w:tc>
      </w:tr>
      <w:tr w:rsidR="00AF38BA">
        <w:trPr>
          <w:cantSplit/>
          <w:trHeight w:val="560"/>
        </w:trPr>
        <w:tc>
          <w:tcPr>
            <w:tcW w:w="700" w:type="dxa"/>
            <w:tcMar>
              <w:top w:w="0" w:type="dxa"/>
              <w:bottom w:w="0" w:type="dxa"/>
            </w:tcMar>
            <w:vAlign w:val="center"/>
          </w:tcPr>
          <w:p w:rsidR="00AF38BA" w:rsidRDefault="006B7671">
            <w:pPr>
              <w:keepNext/>
              <w:keepLines/>
              <w:spacing w:after="0" w:line="240" w:lineRule="auto"/>
            </w:pPr>
            <w:r>
              <w:rPr>
                <w:sz w:val="18"/>
              </w:rPr>
              <w:t>3631</w:t>
            </w:r>
          </w:p>
        </w:tc>
        <w:tc>
          <w:tcPr>
            <w:tcW w:w="3180" w:type="dxa"/>
            <w:tcMar>
              <w:top w:w="0" w:type="dxa"/>
              <w:bottom w:w="0" w:type="dxa"/>
            </w:tcMar>
            <w:vAlign w:val="center"/>
          </w:tcPr>
          <w:p w:rsidR="00AF38BA" w:rsidRDefault="006B7671">
            <w:pPr>
              <w:keepNext/>
              <w:keepLines/>
              <w:spacing w:after="0" w:line="240" w:lineRule="auto"/>
            </w:pPr>
            <w:r>
              <w:rPr>
                <w:sz w:val="18"/>
              </w:rPr>
              <w:t>Tekuće pomoći drugom proračunu i izvanproračunskim korisnicima</w:t>
            </w:r>
          </w:p>
        </w:tc>
        <w:tc>
          <w:tcPr>
            <w:tcW w:w="700" w:type="dxa"/>
            <w:tcMar>
              <w:top w:w="0" w:type="dxa"/>
              <w:bottom w:w="0" w:type="dxa"/>
            </w:tcMar>
            <w:vAlign w:val="center"/>
          </w:tcPr>
          <w:p w:rsidR="00AF38BA" w:rsidRDefault="006B7671">
            <w:pPr>
              <w:keepNext/>
              <w:keepLines/>
              <w:spacing w:after="0" w:line="240" w:lineRule="auto"/>
            </w:pPr>
            <w:r>
              <w:rPr>
                <w:sz w:val="18"/>
              </w:rPr>
              <w:t>3631</w:t>
            </w:r>
          </w:p>
        </w:tc>
        <w:tc>
          <w:tcPr>
            <w:tcW w:w="1860" w:type="dxa"/>
            <w:tcMar>
              <w:top w:w="0" w:type="dxa"/>
              <w:bottom w:w="0" w:type="dxa"/>
            </w:tcMar>
            <w:vAlign w:val="center"/>
          </w:tcPr>
          <w:p w:rsidR="00AF38BA" w:rsidRDefault="006B7671">
            <w:pPr>
              <w:keepNext/>
              <w:keepLines/>
              <w:spacing w:after="0" w:line="240" w:lineRule="auto"/>
              <w:jc w:val="right"/>
            </w:pPr>
            <w:r>
              <w:rPr>
                <w:sz w:val="18"/>
              </w:rPr>
              <w:t>1.372.400,56</w:t>
            </w:r>
          </w:p>
        </w:tc>
        <w:tc>
          <w:tcPr>
            <w:tcW w:w="1860" w:type="dxa"/>
            <w:tcMar>
              <w:top w:w="0" w:type="dxa"/>
              <w:bottom w:w="0" w:type="dxa"/>
            </w:tcMar>
            <w:vAlign w:val="center"/>
          </w:tcPr>
          <w:p w:rsidR="00AF38BA" w:rsidRDefault="006B7671">
            <w:pPr>
              <w:keepNext/>
              <w:keepLines/>
              <w:spacing w:after="0" w:line="240" w:lineRule="auto"/>
              <w:jc w:val="right"/>
            </w:pPr>
            <w:r>
              <w:rPr>
                <w:sz w:val="18"/>
              </w:rPr>
              <w:t>1.740.716,27</w:t>
            </w:r>
          </w:p>
        </w:tc>
        <w:tc>
          <w:tcPr>
            <w:tcW w:w="700" w:type="dxa"/>
            <w:tcMar>
              <w:top w:w="0" w:type="dxa"/>
              <w:bottom w:w="0" w:type="dxa"/>
            </w:tcMar>
            <w:vAlign w:val="center"/>
          </w:tcPr>
          <w:p w:rsidR="00AF38BA" w:rsidRDefault="006B7671">
            <w:pPr>
              <w:keepNext/>
              <w:keepLines/>
              <w:spacing w:after="0" w:line="240" w:lineRule="auto"/>
              <w:jc w:val="right"/>
            </w:pPr>
            <w:r>
              <w:rPr>
                <w:sz w:val="18"/>
              </w:rPr>
              <w:t>126,8</w:t>
            </w:r>
          </w:p>
        </w:tc>
      </w:tr>
    </w:tbl>
    <w:p w:rsidR="00AF38BA" w:rsidRDefault="00AF38BA">
      <w:pPr>
        <w:spacing w:after="0"/>
      </w:pPr>
    </w:p>
    <w:p w:rsidR="00AF38BA" w:rsidRDefault="006B7671" w:rsidP="00187140">
      <w:pPr>
        <w:jc w:val="both"/>
      </w:pPr>
      <w:r>
        <w:t>Najveće povećanje predmetnih rashoda ostvareno je kod programa: Izbori za Župana i Županijsku skupštinu (u 2024. godini nisu ostvareni, a u 2025. godini iznose 711.820,29 eura).</w:t>
      </w:r>
      <w:r>
        <w:br/>
        <w:t>S druge strane, najveće smanjenje rashoda ostvareno je kod Programa ravnomjernog razvitka  (u 2024. godini iznose 310.000,00 eura, a u 2025. godini 25.000,00 eura).</w:t>
      </w:r>
    </w:p>
    <w:p w:rsidR="00AF38BA" w:rsidRDefault="00AF38BA"/>
    <w:p w:rsidR="00AF38BA" w:rsidRDefault="006B7671">
      <w:pPr>
        <w:keepNext/>
        <w:spacing w:line="240" w:lineRule="auto"/>
        <w:jc w:val="center"/>
      </w:pPr>
      <w:r>
        <w:rPr>
          <w:sz w:val="28"/>
        </w:rPr>
        <w:t>Bilješka 20.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F38BA">
        <w:trPr>
          <w:cantSplit/>
        </w:trPr>
        <w:tc>
          <w:tcPr>
            <w:tcW w:w="700" w:type="dxa"/>
            <w:shd w:val="clear" w:color="auto" w:fill="E7F0F9"/>
            <w:tcMar>
              <w:top w:w="0" w:type="dxa"/>
              <w:bottom w:w="0" w:type="dxa"/>
            </w:tcMar>
            <w:vAlign w:val="center"/>
          </w:tcPr>
          <w:p w:rsidR="00AF38BA" w:rsidRDefault="006B767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AF38BA" w:rsidRDefault="006B767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F38BA" w:rsidRDefault="006B767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F38BA" w:rsidRDefault="006B767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AF38BA" w:rsidRDefault="006B767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AF38BA" w:rsidRDefault="006B7671">
            <w:pPr>
              <w:keepNext/>
              <w:keepLines/>
              <w:spacing w:after="0" w:line="240" w:lineRule="auto"/>
              <w:jc w:val="center"/>
            </w:pPr>
            <w:r>
              <w:rPr>
                <w:b/>
                <w:sz w:val="18"/>
              </w:rPr>
              <w:t>Indeks (%)</w:t>
            </w:r>
          </w:p>
        </w:tc>
      </w:tr>
      <w:tr w:rsidR="00AF38BA">
        <w:trPr>
          <w:cantSplit/>
          <w:trHeight w:val="560"/>
        </w:trPr>
        <w:tc>
          <w:tcPr>
            <w:tcW w:w="700" w:type="dxa"/>
            <w:tcMar>
              <w:top w:w="0" w:type="dxa"/>
              <w:bottom w:w="0" w:type="dxa"/>
            </w:tcMar>
            <w:vAlign w:val="center"/>
          </w:tcPr>
          <w:p w:rsidR="00AF38BA" w:rsidRDefault="006B7671">
            <w:pPr>
              <w:keepNext/>
              <w:keepLines/>
              <w:spacing w:after="0" w:line="240" w:lineRule="auto"/>
            </w:pPr>
            <w:r>
              <w:rPr>
                <w:sz w:val="18"/>
              </w:rPr>
              <w:t>3632</w:t>
            </w:r>
          </w:p>
        </w:tc>
        <w:tc>
          <w:tcPr>
            <w:tcW w:w="3180" w:type="dxa"/>
            <w:tcMar>
              <w:top w:w="0" w:type="dxa"/>
              <w:bottom w:w="0" w:type="dxa"/>
            </w:tcMar>
            <w:vAlign w:val="center"/>
          </w:tcPr>
          <w:p w:rsidR="00AF38BA" w:rsidRDefault="006B7671">
            <w:pPr>
              <w:keepNext/>
              <w:keepLines/>
              <w:spacing w:after="0" w:line="240" w:lineRule="auto"/>
            </w:pPr>
            <w:r>
              <w:rPr>
                <w:sz w:val="18"/>
              </w:rPr>
              <w:t>Kapitalne pomoći drugom proračunu i izvanproračunskim korisnicima</w:t>
            </w:r>
          </w:p>
        </w:tc>
        <w:tc>
          <w:tcPr>
            <w:tcW w:w="700" w:type="dxa"/>
            <w:tcMar>
              <w:top w:w="0" w:type="dxa"/>
              <w:bottom w:w="0" w:type="dxa"/>
            </w:tcMar>
            <w:vAlign w:val="center"/>
          </w:tcPr>
          <w:p w:rsidR="00AF38BA" w:rsidRDefault="006B7671">
            <w:pPr>
              <w:keepNext/>
              <w:keepLines/>
              <w:spacing w:after="0" w:line="240" w:lineRule="auto"/>
            </w:pPr>
            <w:r>
              <w:rPr>
                <w:sz w:val="18"/>
              </w:rPr>
              <w:t>3632</w:t>
            </w:r>
          </w:p>
        </w:tc>
        <w:tc>
          <w:tcPr>
            <w:tcW w:w="1860" w:type="dxa"/>
            <w:tcMar>
              <w:top w:w="0" w:type="dxa"/>
              <w:bottom w:w="0" w:type="dxa"/>
            </w:tcMar>
            <w:vAlign w:val="center"/>
          </w:tcPr>
          <w:p w:rsidR="00AF38BA" w:rsidRDefault="006B7671">
            <w:pPr>
              <w:keepNext/>
              <w:keepLines/>
              <w:spacing w:after="0" w:line="240" w:lineRule="auto"/>
              <w:jc w:val="right"/>
            </w:pPr>
            <w:r>
              <w:rPr>
                <w:sz w:val="18"/>
              </w:rPr>
              <w:t>3.069.417,11</w:t>
            </w:r>
          </w:p>
        </w:tc>
        <w:tc>
          <w:tcPr>
            <w:tcW w:w="1860" w:type="dxa"/>
            <w:tcMar>
              <w:top w:w="0" w:type="dxa"/>
              <w:bottom w:w="0" w:type="dxa"/>
            </w:tcMar>
            <w:vAlign w:val="center"/>
          </w:tcPr>
          <w:p w:rsidR="00AF38BA" w:rsidRDefault="006B7671">
            <w:pPr>
              <w:keepNext/>
              <w:keepLines/>
              <w:spacing w:after="0" w:line="240" w:lineRule="auto"/>
              <w:jc w:val="right"/>
            </w:pPr>
            <w:r>
              <w:rPr>
                <w:sz w:val="18"/>
              </w:rPr>
              <w:t>3.426.038,34</w:t>
            </w:r>
          </w:p>
        </w:tc>
        <w:tc>
          <w:tcPr>
            <w:tcW w:w="700" w:type="dxa"/>
            <w:tcMar>
              <w:top w:w="0" w:type="dxa"/>
              <w:bottom w:w="0" w:type="dxa"/>
            </w:tcMar>
            <w:vAlign w:val="center"/>
          </w:tcPr>
          <w:p w:rsidR="00AF38BA" w:rsidRDefault="006B7671">
            <w:pPr>
              <w:keepNext/>
              <w:keepLines/>
              <w:spacing w:after="0" w:line="240" w:lineRule="auto"/>
              <w:jc w:val="right"/>
            </w:pPr>
            <w:r>
              <w:rPr>
                <w:sz w:val="18"/>
              </w:rPr>
              <w:t>111,6</w:t>
            </w:r>
          </w:p>
        </w:tc>
      </w:tr>
    </w:tbl>
    <w:p w:rsidR="00AF38BA" w:rsidRDefault="00AF38BA">
      <w:pPr>
        <w:spacing w:after="0"/>
      </w:pPr>
    </w:p>
    <w:p w:rsidR="00187140" w:rsidRDefault="006B7671" w:rsidP="00187140">
      <w:pPr>
        <w:jc w:val="both"/>
      </w:pPr>
      <w:r>
        <w:t>Do navedenog povećanja najvećim je djelom došlo kao rezultat povećanja rashoda za programe: Zaštita zdravlja i poboljšanje zdravstvenog sustava (u 2024. godini 54.732,67 eura, a u 2025. godini 245.267,33 eura), Razvoj turizma (u 2024. godini iznose 294.787,36 eura, a u 2025. godini 347.335,15 eura) i Ostali programi socijalne skrbi (u 2024. godini 230.600,00 eura, a u 2025. godini 509.025,00 eura).</w:t>
      </w:r>
    </w:p>
    <w:p w:rsidR="00AF38BA" w:rsidRDefault="006B7671" w:rsidP="00187140">
      <w:pPr>
        <w:jc w:val="both"/>
      </w:pPr>
      <w:r>
        <w:t>S druge strane, značajno su smanjeni rashodi za programe Poticanje kulturnih djelatnosti (u 2024. godini iznose 144.015,86 eura, a u 2025. godini 0,00 eura) i Poticanje i promicanje sporta (u 2024. godini iznose 236.200,00 eura, a u 2025. godini 39.580,44 eura).</w:t>
      </w:r>
    </w:p>
    <w:p w:rsidR="00AF38BA" w:rsidRDefault="00AF38BA"/>
    <w:p w:rsidR="00AF38BA" w:rsidRDefault="006B7671">
      <w:pPr>
        <w:keepNext/>
        <w:spacing w:line="240" w:lineRule="auto"/>
        <w:jc w:val="center"/>
      </w:pPr>
      <w:r>
        <w:rPr>
          <w:sz w:val="28"/>
        </w:rPr>
        <w:t>Bilješka 21.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F38BA">
        <w:trPr>
          <w:cantSplit/>
        </w:trPr>
        <w:tc>
          <w:tcPr>
            <w:tcW w:w="700" w:type="dxa"/>
            <w:shd w:val="clear" w:color="auto" w:fill="E7F0F9"/>
            <w:tcMar>
              <w:top w:w="0" w:type="dxa"/>
              <w:bottom w:w="0" w:type="dxa"/>
            </w:tcMar>
            <w:vAlign w:val="center"/>
          </w:tcPr>
          <w:p w:rsidR="00AF38BA" w:rsidRDefault="006B767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AF38BA" w:rsidRDefault="006B767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F38BA" w:rsidRDefault="006B767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F38BA" w:rsidRDefault="006B767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AF38BA" w:rsidRDefault="006B767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AF38BA" w:rsidRDefault="006B7671">
            <w:pPr>
              <w:keepNext/>
              <w:keepLines/>
              <w:spacing w:after="0" w:line="240" w:lineRule="auto"/>
              <w:jc w:val="center"/>
            </w:pPr>
            <w:r>
              <w:rPr>
                <w:b/>
                <w:sz w:val="18"/>
              </w:rPr>
              <w:t>Indeks (%)</w:t>
            </w:r>
          </w:p>
        </w:tc>
      </w:tr>
      <w:tr w:rsidR="00AF38BA">
        <w:trPr>
          <w:cantSplit/>
          <w:trHeight w:val="560"/>
        </w:trPr>
        <w:tc>
          <w:tcPr>
            <w:tcW w:w="700" w:type="dxa"/>
            <w:tcMar>
              <w:top w:w="0" w:type="dxa"/>
              <w:bottom w:w="0" w:type="dxa"/>
            </w:tcMar>
            <w:vAlign w:val="center"/>
          </w:tcPr>
          <w:p w:rsidR="00AF38BA" w:rsidRDefault="006B7671">
            <w:pPr>
              <w:keepNext/>
              <w:keepLines/>
              <w:spacing w:after="0" w:line="240" w:lineRule="auto"/>
            </w:pPr>
            <w:r>
              <w:rPr>
                <w:sz w:val="18"/>
              </w:rPr>
              <w:t>3681</w:t>
            </w:r>
          </w:p>
        </w:tc>
        <w:tc>
          <w:tcPr>
            <w:tcW w:w="3180" w:type="dxa"/>
            <w:tcMar>
              <w:top w:w="0" w:type="dxa"/>
              <w:bottom w:w="0" w:type="dxa"/>
            </w:tcMar>
            <w:vAlign w:val="center"/>
          </w:tcPr>
          <w:p w:rsidR="00AF38BA" w:rsidRDefault="006B7671">
            <w:pPr>
              <w:keepNext/>
              <w:keepLines/>
              <w:spacing w:after="0" w:line="240" w:lineRule="auto"/>
            </w:pPr>
            <w:r>
              <w:rPr>
                <w:sz w:val="18"/>
              </w:rPr>
              <w:t>Tekuće pomoći temeljem prijenosa EU sredstava</w:t>
            </w:r>
          </w:p>
        </w:tc>
        <w:tc>
          <w:tcPr>
            <w:tcW w:w="700" w:type="dxa"/>
            <w:tcMar>
              <w:top w:w="0" w:type="dxa"/>
              <w:bottom w:w="0" w:type="dxa"/>
            </w:tcMar>
            <w:vAlign w:val="center"/>
          </w:tcPr>
          <w:p w:rsidR="00AF38BA" w:rsidRDefault="006B7671">
            <w:pPr>
              <w:keepNext/>
              <w:keepLines/>
              <w:spacing w:after="0" w:line="240" w:lineRule="auto"/>
            </w:pPr>
            <w:r>
              <w:rPr>
                <w:sz w:val="18"/>
              </w:rPr>
              <w:t>3681</w:t>
            </w:r>
          </w:p>
        </w:tc>
        <w:tc>
          <w:tcPr>
            <w:tcW w:w="1860" w:type="dxa"/>
            <w:tcMar>
              <w:top w:w="0" w:type="dxa"/>
              <w:bottom w:w="0" w:type="dxa"/>
            </w:tcMar>
            <w:vAlign w:val="center"/>
          </w:tcPr>
          <w:p w:rsidR="00AF38BA" w:rsidRDefault="006B7671">
            <w:pPr>
              <w:keepNext/>
              <w:keepLines/>
              <w:spacing w:after="0" w:line="240" w:lineRule="auto"/>
              <w:jc w:val="right"/>
            </w:pPr>
            <w:r>
              <w:rPr>
                <w:sz w:val="18"/>
              </w:rPr>
              <w:t>130.313,48</w:t>
            </w:r>
          </w:p>
        </w:tc>
        <w:tc>
          <w:tcPr>
            <w:tcW w:w="1860" w:type="dxa"/>
            <w:tcMar>
              <w:top w:w="0" w:type="dxa"/>
              <w:bottom w:w="0" w:type="dxa"/>
            </w:tcMar>
            <w:vAlign w:val="center"/>
          </w:tcPr>
          <w:p w:rsidR="00AF38BA" w:rsidRDefault="006B7671">
            <w:pPr>
              <w:keepNext/>
              <w:keepLines/>
              <w:spacing w:after="0" w:line="240" w:lineRule="auto"/>
              <w:jc w:val="right"/>
            </w:pPr>
            <w:r>
              <w:rPr>
                <w:sz w:val="18"/>
              </w:rPr>
              <w:t>0,00</w:t>
            </w:r>
          </w:p>
        </w:tc>
        <w:tc>
          <w:tcPr>
            <w:tcW w:w="700" w:type="dxa"/>
            <w:tcMar>
              <w:top w:w="0" w:type="dxa"/>
              <w:bottom w:w="0" w:type="dxa"/>
            </w:tcMar>
            <w:vAlign w:val="center"/>
          </w:tcPr>
          <w:p w:rsidR="00AF38BA" w:rsidRDefault="006B7671">
            <w:pPr>
              <w:keepNext/>
              <w:keepLines/>
              <w:spacing w:after="0" w:line="240" w:lineRule="auto"/>
              <w:jc w:val="right"/>
            </w:pPr>
            <w:r>
              <w:rPr>
                <w:sz w:val="18"/>
              </w:rPr>
              <w:t>0</w:t>
            </w:r>
          </w:p>
        </w:tc>
      </w:tr>
    </w:tbl>
    <w:p w:rsidR="00AF38BA" w:rsidRDefault="00AF38BA">
      <w:pPr>
        <w:spacing w:after="0"/>
      </w:pPr>
    </w:p>
    <w:p w:rsidR="00AF38BA" w:rsidRDefault="006B7671" w:rsidP="00187140">
      <w:pPr>
        <w:jc w:val="both"/>
      </w:pPr>
      <w:r>
        <w:t xml:space="preserve">Navedene pomoći u 2024. godini isplaćene su projektnim partnerima, temeljem odobrenih zahtjeva za nadoknadom sredstava, okviru završenog EU projekta </w:t>
      </w:r>
      <w:proofErr w:type="spellStart"/>
      <w:r>
        <w:t>AdriPromTour</w:t>
      </w:r>
      <w:proofErr w:type="spellEnd"/>
      <w:r>
        <w:t>.</w:t>
      </w:r>
    </w:p>
    <w:p w:rsidR="00AF38BA" w:rsidRDefault="00AF38BA"/>
    <w:p w:rsidR="00AF38BA" w:rsidRDefault="006B7671">
      <w:pPr>
        <w:keepNext/>
        <w:spacing w:line="240" w:lineRule="auto"/>
        <w:jc w:val="center"/>
      </w:pPr>
      <w:r>
        <w:rPr>
          <w:sz w:val="28"/>
        </w:rPr>
        <w:lastRenderedPageBreak/>
        <w:t>Bilješka 22.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F38BA">
        <w:trPr>
          <w:cantSplit/>
        </w:trPr>
        <w:tc>
          <w:tcPr>
            <w:tcW w:w="700" w:type="dxa"/>
            <w:shd w:val="clear" w:color="auto" w:fill="E7F0F9"/>
            <w:tcMar>
              <w:top w:w="0" w:type="dxa"/>
              <w:bottom w:w="0" w:type="dxa"/>
            </w:tcMar>
            <w:vAlign w:val="center"/>
          </w:tcPr>
          <w:p w:rsidR="00AF38BA" w:rsidRDefault="006B767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AF38BA" w:rsidRDefault="006B767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F38BA" w:rsidRDefault="006B767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F38BA" w:rsidRDefault="006B767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AF38BA" w:rsidRDefault="006B767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AF38BA" w:rsidRDefault="006B7671">
            <w:pPr>
              <w:keepNext/>
              <w:keepLines/>
              <w:spacing w:after="0" w:line="240" w:lineRule="auto"/>
              <w:jc w:val="center"/>
            </w:pPr>
            <w:r>
              <w:rPr>
                <w:b/>
                <w:sz w:val="18"/>
              </w:rPr>
              <w:t>Indeks (%)</w:t>
            </w:r>
          </w:p>
        </w:tc>
      </w:tr>
      <w:tr w:rsidR="00AF38BA">
        <w:trPr>
          <w:cantSplit/>
          <w:trHeight w:val="560"/>
        </w:trPr>
        <w:tc>
          <w:tcPr>
            <w:tcW w:w="700" w:type="dxa"/>
            <w:tcMar>
              <w:top w:w="0" w:type="dxa"/>
              <w:bottom w:w="0" w:type="dxa"/>
            </w:tcMar>
            <w:vAlign w:val="center"/>
          </w:tcPr>
          <w:p w:rsidR="00AF38BA" w:rsidRDefault="006B7671">
            <w:pPr>
              <w:keepNext/>
              <w:keepLines/>
              <w:spacing w:after="0" w:line="240" w:lineRule="auto"/>
            </w:pPr>
            <w:r>
              <w:rPr>
                <w:sz w:val="18"/>
              </w:rPr>
              <w:t>3682</w:t>
            </w:r>
          </w:p>
        </w:tc>
        <w:tc>
          <w:tcPr>
            <w:tcW w:w="3180" w:type="dxa"/>
            <w:tcMar>
              <w:top w:w="0" w:type="dxa"/>
              <w:bottom w:w="0" w:type="dxa"/>
            </w:tcMar>
            <w:vAlign w:val="center"/>
          </w:tcPr>
          <w:p w:rsidR="00AF38BA" w:rsidRDefault="006B7671">
            <w:pPr>
              <w:keepNext/>
              <w:keepLines/>
              <w:spacing w:after="0" w:line="240" w:lineRule="auto"/>
            </w:pPr>
            <w:r>
              <w:rPr>
                <w:sz w:val="18"/>
              </w:rPr>
              <w:t>Kapitalne pomoći temeljem prijenosa EU sredstava</w:t>
            </w:r>
          </w:p>
        </w:tc>
        <w:tc>
          <w:tcPr>
            <w:tcW w:w="700" w:type="dxa"/>
            <w:tcMar>
              <w:top w:w="0" w:type="dxa"/>
              <w:bottom w:w="0" w:type="dxa"/>
            </w:tcMar>
            <w:vAlign w:val="center"/>
          </w:tcPr>
          <w:p w:rsidR="00AF38BA" w:rsidRDefault="006B7671">
            <w:pPr>
              <w:keepNext/>
              <w:keepLines/>
              <w:spacing w:after="0" w:line="240" w:lineRule="auto"/>
            </w:pPr>
            <w:r>
              <w:rPr>
                <w:sz w:val="18"/>
              </w:rPr>
              <w:t>3682</w:t>
            </w:r>
          </w:p>
        </w:tc>
        <w:tc>
          <w:tcPr>
            <w:tcW w:w="1860" w:type="dxa"/>
            <w:tcMar>
              <w:top w:w="0" w:type="dxa"/>
              <w:bottom w:w="0" w:type="dxa"/>
            </w:tcMar>
            <w:vAlign w:val="center"/>
          </w:tcPr>
          <w:p w:rsidR="00AF38BA" w:rsidRDefault="006B7671">
            <w:pPr>
              <w:keepNext/>
              <w:keepLines/>
              <w:spacing w:after="0" w:line="240" w:lineRule="auto"/>
              <w:jc w:val="right"/>
            </w:pPr>
            <w:r>
              <w:rPr>
                <w:sz w:val="18"/>
              </w:rPr>
              <w:t>258.301,76</w:t>
            </w:r>
          </w:p>
        </w:tc>
        <w:tc>
          <w:tcPr>
            <w:tcW w:w="1860" w:type="dxa"/>
            <w:tcMar>
              <w:top w:w="0" w:type="dxa"/>
              <w:bottom w:w="0" w:type="dxa"/>
            </w:tcMar>
            <w:vAlign w:val="center"/>
          </w:tcPr>
          <w:p w:rsidR="00AF38BA" w:rsidRDefault="006B7671">
            <w:pPr>
              <w:keepNext/>
              <w:keepLines/>
              <w:spacing w:after="0" w:line="240" w:lineRule="auto"/>
              <w:jc w:val="right"/>
            </w:pPr>
            <w:r>
              <w:rPr>
                <w:sz w:val="18"/>
              </w:rPr>
              <w:t>50.778,72</w:t>
            </w:r>
          </w:p>
        </w:tc>
        <w:tc>
          <w:tcPr>
            <w:tcW w:w="700" w:type="dxa"/>
            <w:tcMar>
              <w:top w:w="0" w:type="dxa"/>
              <w:bottom w:w="0" w:type="dxa"/>
            </w:tcMar>
            <w:vAlign w:val="center"/>
          </w:tcPr>
          <w:p w:rsidR="00AF38BA" w:rsidRDefault="006B7671">
            <w:pPr>
              <w:keepNext/>
              <w:keepLines/>
              <w:spacing w:after="0" w:line="240" w:lineRule="auto"/>
              <w:jc w:val="right"/>
            </w:pPr>
            <w:r>
              <w:rPr>
                <w:sz w:val="18"/>
              </w:rPr>
              <w:t>19,7</w:t>
            </w:r>
          </w:p>
        </w:tc>
      </w:tr>
    </w:tbl>
    <w:p w:rsidR="00AF38BA" w:rsidRDefault="00AF38BA">
      <w:pPr>
        <w:spacing w:after="0"/>
      </w:pPr>
    </w:p>
    <w:p w:rsidR="00AF38BA" w:rsidRDefault="006B7671" w:rsidP="00187140">
      <w:pPr>
        <w:jc w:val="both"/>
      </w:pPr>
      <w:r>
        <w:t>Predmetno smanjenje, u najvećoj mjeri, rezultat je smanjenja pomoći isplaćenih projektnim partnerima, temeljem odobrenih zahtjeva za nadoknadom sredstava, u okviru završenog EU projekta Kulturno-turistička ruta Putovima Frankopana (u 2024. godini iznose 258.301,76 eura, a u 2025. godini nisu isplaćene).</w:t>
      </w:r>
    </w:p>
    <w:p w:rsidR="00AF38BA" w:rsidRDefault="00AF38BA"/>
    <w:p w:rsidR="00AF38BA" w:rsidRDefault="006B7671">
      <w:pPr>
        <w:keepNext/>
        <w:spacing w:line="240" w:lineRule="auto"/>
        <w:jc w:val="center"/>
      </w:pPr>
      <w:r>
        <w:rPr>
          <w:sz w:val="28"/>
        </w:rPr>
        <w:t>Bilješka 23.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F38BA">
        <w:trPr>
          <w:cantSplit/>
        </w:trPr>
        <w:tc>
          <w:tcPr>
            <w:tcW w:w="700" w:type="dxa"/>
            <w:shd w:val="clear" w:color="auto" w:fill="E7F0F9"/>
            <w:tcMar>
              <w:top w:w="0" w:type="dxa"/>
              <w:bottom w:w="0" w:type="dxa"/>
            </w:tcMar>
            <w:vAlign w:val="center"/>
          </w:tcPr>
          <w:p w:rsidR="00AF38BA" w:rsidRDefault="006B767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AF38BA" w:rsidRDefault="006B767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F38BA" w:rsidRDefault="006B767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F38BA" w:rsidRDefault="006B767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AF38BA" w:rsidRDefault="006B767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AF38BA" w:rsidRDefault="006B7671">
            <w:pPr>
              <w:keepNext/>
              <w:keepLines/>
              <w:spacing w:after="0" w:line="240" w:lineRule="auto"/>
              <w:jc w:val="center"/>
            </w:pPr>
            <w:r>
              <w:rPr>
                <w:b/>
                <w:sz w:val="18"/>
              </w:rPr>
              <w:t>Indeks (%)</w:t>
            </w:r>
          </w:p>
        </w:tc>
      </w:tr>
      <w:tr w:rsidR="00AF38BA">
        <w:trPr>
          <w:cantSplit/>
          <w:trHeight w:val="560"/>
        </w:trPr>
        <w:tc>
          <w:tcPr>
            <w:tcW w:w="700" w:type="dxa"/>
            <w:tcMar>
              <w:top w:w="0" w:type="dxa"/>
              <w:bottom w:w="0" w:type="dxa"/>
            </w:tcMar>
            <w:vAlign w:val="center"/>
          </w:tcPr>
          <w:p w:rsidR="00AF38BA" w:rsidRDefault="006B7671">
            <w:pPr>
              <w:keepNext/>
              <w:keepLines/>
              <w:spacing w:after="0" w:line="240" w:lineRule="auto"/>
            </w:pPr>
            <w:r>
              <w:rPr>
                <w:sz w:val="18"/>
              </w:rPr>
              <w:t>3722</w:t>
            </w:r>
          </w:p>
        </w:tc>
        <w:tc>
          <w:tcPr>
            <w:tcW w:w="3180" w:type="dxa"/>
            <w:tcMar>
              <w:top w:w="0" w:type="dxa"/>
              <w:bottom w:w="0" w:type="dxa"/>
            </w:tcMar>
            <w:vAlign w:val="center"/>
          </w:tcPr>
          <w:p w:rsidR="00AF38BA" w:rsidRDefault="006B7671">
            <w:pPr>
              <w:keepNext/>
              <w:keepLines/>
              <w:spacing w:after="0" w:line="240" w:lineRule="auto"/>
            </w:pPr>
            <w:r>
              <w:rPr>
                <w:sz w:val="18"/>
              </w:rPr>
              <w:t>Naknade građanima i kućanstvima u naravi</w:t>
            </w:r>
          </w:p>
        </w:tc>
        <w:tc>
          <w:tcPr>
            <w:tcW w:w="700" w:type="dxa"/>
            <w:tcMar>
              <w:top w:w="0" w:type="dxa"/>
              <w:bottom w:w="0" w:type="dxa"/>
            </w:tcMar>
            <w:vAlign w:val="center"/>
          </w:tcPr>
          <w:p w:rsidR="00AF38BA" w:rsidRDefault="006B7671">
            <w:pPr>
              <w:keepNext/>
              <w:keepLines/>
              <w:spacing w:after="0" w:line="240" w:lineRule="auto"/>
            </w:pPr>
            <w:r>
              <w:rPr>
                <w:sz w:val="18"/>
              </w:rPr>
              <w:t>3722</w:t>
            </w:r>
          </w:p>
        </w:tc>
        <w:tc>
          <w:tcPr>
            <w:tcW w:w="1860" w:type="dxa"/>
            <w:tcMar>
              <w:top w:w="0" w:type="dxa"/>
              <w:bottom w:w="0" w:type="dxa"/>
            </w:tcMar>
            <w:vAlign w:val="center"/>
          </w:tcPr>
          <w:p w:rsidR="00AF38BA" w:rsidRDefault="006B7671">
            <w:pPr>
              <w:keepNext/>
              <w:keepLines/>
              <w:spacing w:after="0" w:line="240" w:lineRule="auto"/>
              <w:jc w:val="right"/>
            </w:pPr>
            <w:r>
              <w:rPr>
                <w:sz w:val="18"/>
              </w:rPr>
              <w:t>2.590.007,37</w:t>
            </w:r>
          </w:p>
        </w:tc>
        <w:tc>
          <w:tcPr>
            <w:tcW w:w="1860" w:type="dxa"/>
            <w:tcMar>
              <w:top w:w="0" w:type="dxa"/>
              <w:bottom w:w="0" w:type="dxa"/>
            </w:tcMar>
            <w:vAlign w:val="center"/>
          </w:tcPr>
          <w:p w:rsidR="00AF38BA" w:rsidRDefault="006B7671">
            <w:pPr>
              <w:keepNext/>
              <w:keepLines/>
              <w:spacing w:after="0" w:line="240" w:lineRule="auto"/>
              <w:jc w:val="right"/>
            </w:pPr>
            <w:r>
              <w:rPr>
                <w:sz w:val="18"/>
              </w:rPr>
              <w:t>4.534.300,81</w:t>
            </w:r>
          </w:p>
        </w:tc>
        <w:tc>
          <w:tcPr>
            <w:tcW w:w="700" w:type="dxa"/>
            <w:tcMar>
              <w:top w:w="0" w:type="dxa"/>
              <w:bottom w:w="0" w:type="dxa"/>
            </w:tcMar>
            <w:vAlign w:val="center"/>
          </w:tcPr>
          <w:p w:rsidR="00AF38BA" w:rsidRDefault="006B7671">
            <w:pPr>
              <w:keepNext/>
              <w:keepLines/>
              <w:spacing w:after="0" w:line="240" w:lineRule="auto"/>
              <w:jc w:val="right"/>
            </w:pPr>
            <w:r>
              <w:rPr>
                <w:sz w:val="18"/>
              </w:rPr>
              <w:t>175,1</w:t>
            </w:r>
          </w:p>
        </w:tc>
      </w:tr>
    </w:tbl>
    <w:p w:rsidR="00AF38BA" w:rsidRDefault="00AF38BA">
      <w:pPr>
        <w:spacing w:after="0"/>
      </w:pPr>
    </w:p>
    <w:p w:rsidR="00AF38BA" w:rsidRDefault="006B7671" w:rsidP="00187140">
      <w:pPr>
        <w:jc w:val="both"/>
      </w:pPr>
      <w:r>
        <w:t>Navedeno je, najvećim djelom, rezultat rashoda za financiranje besplatnog, javnog otočnog cestovnog prijevoza putnika na području Županije, odnosno otoka Krk, Cres, Lošinj i Rab, a koje županije podmiruju temeljem Pravilnika o načinu ostvarivanja prava na besplatan javni otočni cestovni prijevoz („Narodne novine“ broj 68/24) iz namjenskog prihoda doznačenog iz Državnog proračuna-Ministarstvo mora, prometa i infrastrukture (veza: šifra 6331). U 2025. godini rashodi za tu namjenu iznose 2.706.405,12 eura, dok su u izvještajnom razdoblju 2024. godine iznosili 969.409,92 eura.</w:t>
      </w:r>
    </w:p>
    <w:p w:rsidR="00AF38BA" w:rsidRDefault="00AF38BA"/>
    <w:p w:rsidR="00AF38BA" w:rsidRDefault="006B7671">
      <w:pPr>
        <w:keepNext/>
        <w:spacing w:line="240" w:lineRule="auto"/>
        <w:jc w:val="center"/>
      </w:pPr>
      <w:r>
        <w:rPr>
          <w:sz w:val="28"/>
        </w:rPr>
        <w:t>Bilješka 24.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F38BA">
        <w:trPr>
          <w:cantSplit/>
        </w:trPr>
        <w:tc>
          <w:tcPr>
            <w:tcW w:w="700" w:type="dxa"/>
            <w:shd w:val="clear" w:color="auto" w:fill="E7F0F9"/>
            <w:tcMar>
              <w:top w:w="0" w:type="dxa"/>
              <w:bottom w:w="0" w:type="dxa"/>
            </w:tcMar>
            <w:vAlign w:val="center"/>
          </w:tcPr>
          <w:p w:rsidR="00AF38BA" w:rsidRDefault="006B767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AF38BA" w:rsidRDefault="006B767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F38BA" w:rsidRDefault="006B767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F38BA" w:rsidRDefault="006B767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AF38BA" w:rsidRDefault="006B767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AF38BA" w:rsidRDefault="006B7671">
            <w:pPr>
              <w:keepNext/>
              <w:keepLines/>
              <w:spacing w:after="0" w:line="240" w:lineRule="auto"/>
              <w:jc w:val="center"/>
            </w:pPr>
            <w:r>
              <w:rPr>
                <w:b/>
                <w:sz w:val="18"/>
              </w:rPr>
              <w:t>Indeks (%)</w:t>
            </w:r>
          </w:p>
        </w:tc>
      </w:tr>
      <w:tr w:rsidR="00AF38BA">
        <w:trPr>
          <w:cantSplit/>
          <w:trHeight w:val="560"/>
        </w:trPr>
        <w:tc>
          <w:tcPr>
            <w:tcW w:w="700" w:type="dxa"/>
            <w:tcMar>
              <w:top w:w="0" w:type="dxa"/>
              <w:bottom w:w="0" w:type="dxa"/>
            </w:tcMar>
            <w:vAlign w:val="center"/>
          </w:tcPr>
          <w:p w:rsidR="00AF38BA" w:rsidRDefault="006B7671">
            <w:pPr>
              <w:keepNext/>
              <w:keepLines/>
              <w:spacing w:after="0" w:line="240" w:lineRule="auto"/>
            </w:pPr>
            <w:r>
              <w:rPr>
                <w:sz w:val="18"/>
              </w:rPr>
              <w:t>3811</w:t>
            </w:r>
          </w:p>
        </w:tc>
        <w:tc>
          <w:tcPr>
            <w:tcW w:w="3180" w:type="dxa"/>
            <w:tcMar>
              <w:top w:w="0" w:type="dxa"/>
              <w:bottom w:w="0" w:type="dxa"/>
            </w:tcMar>
            <w:vAlign w:val="center"/>
          </w:tcPr>
          <w:p w:rsidR="00AF38BA" w:rsidRDefault="006B7671">
            <w:pPr>
              <w:keepNext/>
              <w:keepLines/>
              <w:spacing w:after="0" w:line="240" w:lineRule="auto"/>
            </w:pPr>
            <w:r>
              <w:rPr>
                <w:sz w:val="18"/>
              </w:rPr>
              <w:t>Tekuće donacije u novcu</w:t>
            </w:r>
          </w:p>
        </w:tc>
        <w:tc>
          <w:tcPr>
            <w:tcW w:w="700" w:type="dxa"/>
            <w:tcMar>
              <w:top w:w="0" w:type="dxa"/>
              <w:bottom w:w="0" w:type="dxa"/>
            </w:tcMar>
            <w:vAlign w:val="center"/>
          </w:tcPr>
          <w:p w:rsidR="00AF38BA" w:rsidRDefault="006B7671">
            <w:pPr>
              <w:keepNext/>
              <w:keepLines/>
              <w:spacing w:after="0" w:line="240" w:lineRule="auto"/>
            </w:pPr>
            <w:r>
              <w:rPr>
                <w:sz w:val="18"/>
              </w:rPr>
              <w:t>3811</w:t>
            </w:r>
          </w:p>
        </w:tc>
        <w:tc>
          <w:tcPr>
            <w:tcW w:w="1860" w:type="dxa"/>
            <w:tcMar>
              <w:top w:w="0" w:type="dxa"/>
              <w:bottom w:w="0" w:type="dxa"/>
            </w:tcMar>
            <w:vAlign w:val="center"/>
          </w:tcPr>
          <w:p w:rsidR="00AF38BA" w:rsidRDefault="006B7671">
            <w:pPr>
              <w:keepNext/>
              <w:keepLines/>
              <w:spacing w:after="0" w:line="240" w:lineRule="auto"/>
              <w:jc w:val="right"/>
            </w:pPr>
            <w:r>
              <w:rPr>
                <w:sz w:val="18"/>
              </w:rPr>
              <w:t>4.291.738,29</w:t>
            </w:r>
          </w:p>
        </w:tc>
        <w:tc>
          <w:tcPr>
            <w:tcW w:w="1860" w:type="dxa"/>
            <w:tcMar>
              <w:top w:w="0" w:type="dxa"/>
              <w:bottom w:w="0" w:type="dxa"/>
            </w:tcMar>
            <w:vAlign w:val="center"/>
          </w:tcPr>
          <w:p w:rsidR="00AF38BA" w:rsidRDefault="006B7671">
            <w:pPr>
              <w:keepNext/>
              <w:keepLines/>
              <w:spacing w:after="0" w:line="240" w:lineRule="auto"/>
              <w:jc w:val="right"/>
            </w:pPr>
            <w:r>
              <w:rPr>
                <w:sz w:val="18"/>
              </w:rPr>
              <w:t>5.597.956,68</w:t>
            </w:r>
          </w:p>
        </w:tc>
        <w:tc>
          <w:tcPr>
            <w:tcW w:w="700" w:type="dxa"/>
            <w:tcMar>
              <w:top w:w="0" w:type="dxa"/>
              <w:bottom w:w="0" w:type="dxa"/>
            </w:tcMar>
            <w:vAlign w:val="center"/>
          </w:tcPr>
          <w:p w:rsidR="00AF38BA" w:rsidRDefault="006B7671">
            <w:pPr>
              <w:keepNext/>
              <w:keepLines/>
              <w:spacing w:after="0" w:line="240" w:lineRule="auto"/>
              <w:jc w:val="right"/>
            </w:pPr>
            <w:r>
              <w:rPr>
                <w:sz w:val="18"/>
              </w:rPr>
              <w:t>130,4</w:t>
            </w:r>
          </w:p>
        </w:tc>
      </w:tr>
    </w:tbl>
    <w:p w:rsidR="00AF38BA" w:rsidRDefault="00AF38BA">
      <w:pPr>
        <w:spacing w:after="0"/>
      </w:pPr>
    </w:p>
    <w:p w:rsidR="00AF38BA" w:rsidRDefault="006B7671" w:rsidP="00187140">
      <w:pPr>
        <w:jc w:val="both"/>
      </w:pPr>
      <w:r>
        <w:t>Na navedeno, u najvećoj mjeri, utjecalo je povećanje rashoda za provedbu programa Poticanje i promicanje sporta (u 2024. godini iznose 1.258.100,00 eura, a u 2025. godini 1.846.720,00 eura), Pomorsko dobro (u 2024. godini iznose 370.090,00 eura, a u 2025. godini 752.491,56 eura), te Ostali programi socijalne skrbi (u 2024. godini iznose 510.343,85 eura, a u 2025. godini 652.537,59 eura).</w:t>
      </w:r>
    </w:p>
    <w:p w:rsidR="00AF38BA" w:rsidRDefault="00AF38BA"/>
    <w:p w:rsidR="00AF38BA" w:rsidRDefault="006B7671">
      <w:pPr>
        <w:keepNext/>
        <w:spacing w:line="240" w:lineRule="auto"/>
        <w:jc w:val="center"/>
      </w:pPr>
      <w:r>
        <w:rPr>
          <w:sz w:val="28"/>
        </w:rPr>
        <w:lastRenderedPageBreak/>
        <w:t>Bilješka 25.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F38BA">
        <w:trPr>
          <w:cantSplit/>
        </w:trPr>
        <w:tc>
          <w:tcPr>
            <w:tcW w:w="700" w:type="dxa"/>
            <w:shd w:val="clear" w:color="auto" w:fill="E7F0F9"/>
            <w:tcMar>
              <w:top w:w="0" w:type="dxa"/>
              <w:bottom w:w="0" w:type="dxa"/>
            </w:tcMar>
            <w:vAlign w:val="center"/>
          </w:tcPr>
          <w:p w:rsidR="00AF38BA" w:rsidRDefault="006B767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AF38BA" w:rsidRDefault="006B767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F38BA" w:rsidRDefault="006B767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F38BA" w:rsidRDefault="006B767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AF38BA" w:rsidRDefault="006B767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AF38BA" w:rsidRDefault="006B7671">
            <w:pPr>
              <w:keepNext/>
              <w:keepLines/>
              <w:spacing w:after="0" w:line="240" w:lineRule="auto"/>
              <w:jc w:val="center"/>
            </w:pPr>
            <w:r>
              <w:rPr>
                <w:b/>
                <w:sz w:val="18"/>
              </w:rPr>
              <w:t>Indeks (%)</w:t>
            </w:r>
          </w:p>
        </w:tc>
      </w:tr>
      <w:tr w:rsidR="00AF38BA">
        <w:trPr>
          <w:cantSplit/>
          <w:trHeight w:val="560"/>
        </w:trPr>
        <w:tc>
          <w:tcPr>
            <w:tcW w:w="700" w:type="dxa"/>
            <w:tcMar>
              <w:top w:w="0" w:type="dxa"/>
              <w:bottom w:w="0" w:type="dxa"/>
            </w:tcMar>
            <w:vAlign w:val="center"/>
          </w:tcPr>
          <w:p w:rsidR="00AF38BA" w:rsidRDefault="006B7671">
            <w:pPr>
              <w:keepNext/>
              <w:keepLines/>
              <w:spacing w:after="0" w:line="240" w:lineRule="auto"/>
            </w:pPr>
            <w:r>
              <w:rPr>
                <w:sz w:val="18"/>
              </w:rPr>
              <w:t>3821</w:t>
            </w:r>
          </w:p>
        </w:tc>
        <w:tc>
          <w:tcPr>
            <w:tcW w:w="3180" w:type="dxa"/>
            <w:tcMar>
              <w:top w:w="0" w:type="dxa"/>
              <w:bottom w:w="0" w:type="dxa"/>
            </w:tcMar>
            <w:vAlign w:val="center"/>
          </w:tcPr>
          <w:p w:rsidR="00AF38BA" w:rsidRDefault="006B7671">
            <w:pPr>
              <w:keepNext/>
              <w:keepLines/>
              <w:spacing w:after="0" w:line="240" w:lineRule="auto"/>
            </w:pPr>
            <w:r>
              <w:rPr>
                <w:sz w:val="18"/>
              </w:rPr>
              <w:t>Kapitalne donacije neprofitnim organizacijama</w:t>
            </w:r>
          </w:p>
        </w:tc>
        <w:tc>
          <w:tcPr>
            <w:tcW w:w="700" w:type="dxa"/>
            <w:tcMar>
              <w:top w:w="0" w:type="dxa"/>
              <w:bottom w:w="0" w:type="dxa"/>
            </w:tcMar>
            <w:vAlign w:val="center"/>
          </w:tcPr>
          <w:p w:rsidR="00AF38BA" w:rsidRDefault="006B7671">
            <w:pPr>
              <w:keepNext/>
              <w:keepLines/>
              <w:spacing w:after="0" w:line="240" w:lineRule="auto"/>
            </w:pPr>
            <w:r>
              <w:rPr>
                <w:sz w:val="18"/>
              </w:rPr>
              <w:t>3821</w:t>
            </w:r>
          </w:p>
        </w:tc>
        <w:tc>
          <w:tcPr>
            <w:tcW w:w="1860" w:type="dxa"/>
            <w:tcMar>
              <w:top w:w="0" w:type="dxa"/>
              <w:bottom w:w="0" w:type="dxa"/>
            </w:tcMar>
            <w:vAlign w:val="center"/>
          </w:tcPr>
          <w:p w:rsidR="00AF38BA" w:rsidRDefault="006B7671">
            <w:pPr>
              <w:keepNext/>
              <w:keepLines/>
              <w:spacing w:after="0" w:line="240" w:lineRule="auto"/>
              <w:jc w:val="right"/>
            </w:pPr>
            <w:r>
              <w:rPr>
                <w:sz w:val="18"/>
              </w:rPr>
              <w:t>4.107.050,05</w:t>
            </w:r>
          </w:p>
        </w:tc>
        <w:tc>
          <w:tcPr>
            <w:tcW w:w="1860" w:type="dxa"/>
            <w:tcMar>
              <w:top w:w="0" w:type="dxa"/>
              <w:bottom w:w="0" w:type="dxa"/>
            </w:tcMar>
            <w:vAlign w:val="center"/>
          </w:tcPr>
          <w:p w:rsidR="00AF38BA" w:rsidRDefault="006B7671">
            <w:pPr>
              <w:keepNext/>
              <w:keepLines/>
              <w:spacing w:after="0" w:line="240" w:lineRule="auto"/>
              <w:jc w:val="right"/>
            </w:pPr>
            <w:r>
              <w:rPr>
                <w:sz w:val="18"/>
              </w:rPr>
              <w:t>3.750.589,81</w:t>
            </w:r>
          </w:p>
        </w:tc>
        <w:tc>
          <w:tcPr>
            <w:tcW w:w="700" w:type="dxa"/>
            <w:tcMar>
              <w:top w:w="0" w:type="dxa"/>
              <w:bottom w:w="0" w:type="dxa"/>
            </w:tcMar>
            <w:vAlign w:val="center"/>
          </w:tcPr>
          <w:p w:rsidR="00AF38BA" w:rsidRDefault="006B7671">
            <w:pPr>
              <w:keepNext/>
              <w:keepLines/>
              <w:spacing w:after="0" w:line="240" w:lineRule="auto"/>
              <w:jc w:val="right"/>
            </w:pPr>
            <w:r>
              <w:rPr>
                <w:sz w:val="18"/>
              </w:rPr>
              <w:t>91,3</w:t>
            </w:r>
          </w:p>
        </w:tc>
      </w:tr>
    </w:tbl>
    <w:p w:rsidR="00AF38BA" w:rsidRDefault="00AF38BA">
      <w:pPr>
        <w:spacing w:after="0"/>
      </w:pPr>
    </w:p>
    <w:p w:rsidR="00AF38BA" w:rsidRDefault="006B7671" w:rsidP="00187140">
      <w:pPr>
        <w:jc w:val="both"/>
      </w:pPr>
      <w:r>
        <w:t xml:space="preserve">Navedeno je, najvećim djelom, rezultat smanjenja rashoda za kapitalni projekt Zdravstveni centar </w:t>
      </w:r>
      <w:proofErr w:type="spellStart"/>
      <w:r>
        <w:t>Rujevica</w:t>
      </w:r>
      <w:proofErr w:type="spellEnd"/>
      <w:r>
        <w:t xml:space="preserve"> - Zapad (u 2024. godini iznose 1.682.414,51 eura, dok u 2025. godini nisu ostvareni). </w:t>
      </w:r>
      <w:r>
        <w:br/>
        <w:t>S druge strane, do značajnog povećanja predmetnih rashoda došlo je kod programa: Organizacija i provedba zaštite i spašavanja (u 2024. godini iznose 222.051,73 eura, a u 2025. godini 690.847,87 eura), Razvoj i promicanje civilnog društva (u 2024. godini iznose 52.600,00 eura, a u 2025. godini 243.512,50 eura) i Pomorsko dobro (u 2024. godini iznose 1.992.722,50 eura, a u 2025. godini 2.624.518,70 eura).</w:t>
      </w:r>
    </w:p>
    <w:p w:rsidR="00AF38BA" w:rsidRDefault="00AF38BA"/>
    <w:p w:rsidR="00AF38BA" w:rsidRDefault="006B7671">
      <w:pPr>
        <w:keepNext/>
        <w:spacing w:line="240" w:lineRule="auto"/>
        <w:jc w:val="center"/>
      </w:pPr>
      <w:r>
        <w:rPr>
          <w:sz w:val="28"/>
        </w:rPr>
        <w:t>Bilješka 26.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F38BA">
        <w:trPr>
          <w:cantSplit/>
        </w:trPr>
        <w:tc>
          <w:tcPr>
            <w:tcW w:w="700" w:type="dxa"/>
            <w:shd w:val="clear" w:color="auto" w:fill="E7F0F9"/>
            <w:tcMar>
              <w:top w:w="0" w:type="dxa"/>
              <w:bottom w:w="0" w:type="dxa"/>
            </w:tcMar>
            <w:vAlign w:val="center"/>
          </w:tcPr>
          <w:p w:rsidR="00AF38BA" w:rsidRDefault="006B767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AF38BA" w:rsidRDefault="006B767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F38BA" w:rsidRDefault="006B767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F38BA" w:rsidRDefault="006B767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AF38BA" w:rsidRDefault="006B767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AF38BA" w:rsidRDefault="006B7671">
            <w:pPr>
              <w:keepNext/>
              <w:keepLines/>
              <w:spacing w:after="0" w:line="240" w:lineRule="auto"/>
              <w:jc w:val="center"/>
            </w:pPr>
            <w:r>
              <w:rPr>
                <w:b/>
                <w:sz w:val="18"/>
              </w:rPr>
              <w:t>Indeks (%)</w:t>
            </w:r>
          </w:p>
        </w:tc>
      </w:tr>
      <w:tr w:rsidR="00AF38BA">
        <w:trPr>
          <w:cantSplit/>
          <w:trHeight w:val="560"/>
        </w:trPr>
        <w:tc>
          <w:tcPr>
            <w:tcW w:w="700" w:type="dxa"/>
            <w:tcMar>
              <w:top w:w="0" w:type="dxa"/>
              <w:bottom w:w="0" w:type="dxa"/>
            </w:tcMar>
            <w:vAlign w:val="center"/>
          </w:tcPr>
          <w:p w:rsidR="00AF38BA" w:rsidRDefault="006B7671">
            <w:pPr>
              <w:keepNext/>
              <w:keepLines/>
              <w:spacing w:after="0" w:line="240" w:lineRule="auto"/>
            </w:pPr>
            <w:r>
              <w:rPr>
                <w:sz w:val="18"/>
              </w:rPr>
              <w:t>3861</w:t>
            </w:r>
          </w:p>
        </w:tc>
        <w:tc>
          <w:tcPr>
            <w:tcW w:w="3180" w:type="dxa"/>
            <w:tcMar>
              <w:top w:w="0" w:type="dxa"/>
              <w:bottom w:w="0" w:type="dxa"/>
            </w:tcMar>
            <w:vAlign w:val="center"/>
          </w:tcPr>
          <w:p w:rsidR="00AF38BA" w:rsidRDefault="006B7671">
            <w:pPr>
              <w:keepNext/>
              <w:keepLines/>
              <w:spacing w:after="0" w:line="240" w:lineRule="auto"/>
            </w:pPr>
            <w:r>
              <w:rPr>
                <w:sz w:val="18"/>
              </w:rPr>
              <w:t>Kapitalne pomoći kreditnim i ostalim financijskim institucijama te trgovačkim društvima u javnom sektoru</w:t>
            </w:r>
          </w:p>
        </w:tc>
        <w:tc>
          <w:tcPr>
            <w:tcW w:w="700" w:type="dxa"/>
            <w:tcMar>
              <w:top w:w="0" w:type="dxa"/>
              <w:bottom w:w="0" w:type="dxa"/>
            </w:tcMar>
            <w:vAlign w:val="center"/>
          </w:tcPr>
          <w:p w:rsidR="00AF38BA" w:rsidRDefault="006B7671">
            <w:pPr>
              <w:keepNext/>
              <w:keepLines/>
              <w:spacing w:after="0" w:line="240" w:lineRule="auto"/>
            </w:pPr>
            <w:r>
              <w:rPr>
                <w:sz w:val="18"/>
              </w:rPr>
              <w:t>3861</w:t>
            </w:r>
          </w:p>
        </w:tc>
        <w:tc>
          <w:tcPr>
            <w:tcW w:w="1860" w:type="dxa"/>
            <w:tcMar>
              <w:top w:w="0" w:type="dxa"/>
              <w:bottom w:w="0" w:type="dxa"/>
            </w:tcMar>
            <w:vAlign w:val="center"/>
          </w:tcPr>
          <w:p w:rsidR="00AF38BA" w:rsidRDefault="006B7671">
            <w:pPr>
              <w:keepNext/>
              <w:keepLines/>
              <w:spacing w:after="0" w:line="240" w:lineRule="auto"/>
              <w:jc w:val="right"/>
            </w:pPr>
            <w:r>
              <w:rPr>
                <w:sz w:val="18"/>
              </w:rPr>
              <w:t>851.940,68</w:t>
            </w:r>
          </w:p>
        </w:tc>
        <w:tc>
          <w:tcPr>
            <w:tcW w:w="1860" w:type="dxa"/>
            <w:tcMar>
              <w:top w:w="0" w:type="dxa"/>
              <w:bottom w:w="0" w:type="dxa"/>
            </w:tcMar>
            <w:vAlign w:val="center"/>
          </w:tcPr>
          <w:p w:rsidR="00AF38BA" w:rsidRDefault="006B7671">
            <w:pPr>
              <w:keepNext/>
              <w:keepLines/>
              <w:spacing w:after="0" w:line="240" w:lineRule="auto"/>
              <w:jc w:val="right"/>
            </w:pPr>
            <w:r>
              <w:rPr>
                <w:sz w:val="18"/>
              </w:rPr>
              <w:t>561.586,97</w:t>
            </w:r>
          </w:p>
        </w:tc>
        <w:tc>
          <w:tcPr>
            <w:tcW w:w="700" w:type="dxa"/>
            <w:tcMar>
              <w:top w:w="0" w:type="dxa"/>
              <w:bottom w:w="0" w:type="dxa"/>
            </w:tcMar>
            <w:vAlign w:val="center"/>
          </w:tcPr>
          <w:p w:rsidR="00AF38BA" w:rsidRDefault="006B7671">
            <w:pPr>
              <w:keepNext/>
              <w:keepLines/>
              <w:spacing w:after="0" w:line="240" w:lineRule="auto"/>
              <w:jc w:val="right"/>
            </w:pPr>
            <w:r>
              <w:rPr>
                <w:sz w:val="18"/>
              </w:rPr>
              <w:t>65,9</w:t>
            </w:r>
          </w:p>
        </w:tc>
      </w:tr>
    </w:tbl>
    <w:p w:rsidR="00AF38BA" w:rsidRDefault="00AF38BA">
      <w:pPr>
        <w:spacing w:after="0"/>
      </w:pPr>
    </w:p>
    <w:p w:rsidR="00AF38BA" w:rsidRDefault="006B7671" w:rsidP="00187140">
      <w:pPr>
        <w:jc w:val="both"/>
      </w:pPr>
      <w:r>
        <w:t>Na navedeno, u najvećoj mjeri, utjecalo je smanjenje rashoda za provedbu programa Poticanje i promicanje sporta (u 2024. godini iznose 120.898,96 eura, a u 2025. godini 9.440,00 eura), te Programa ravnomjernog razvitka (u 2024. godini iznose 581.041,74 eura, a u 2025. godini 428.080,13 eura).</w:t>
      </w:r>
    </w:p>
    <w:p w:rsidR="00AF38BA" w:rsidRDefault="00AF38BA"/>
    <w:p w:rsidR="00AF38BA" w:rsidRDefault="006B7671">
      <w:pPr>
        <w:keepNext/>
        <w:spacing w:line="240" w:lineRule="auto"/>
        <w:jc w:val="center"/>
      </w:pPr>
      <w:r>
        <w:rPr>
          <w:sz w:val="28"/>
        </w:rPr>
        <w:t>Bilješka 27.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F38BA">
        <w:trPr>
          <w:cantSplit/>
        </w:trPr>
        <w:tc>
          <w:tcPr>
            <w:tcW w:w="700" w:type="dxa"/>
            <w:shd w:val="clear" w:color="auto" w:fill="E7F0F9"/>
            <w:tcMar>
              <w:top w:w="0" w:type="dxa"/>
              <w:bottom w:w="0" w:type="dxa"/>
            </w:tcMar>
            <w:vAlign w:val="center"/>
          </w:tcPr>
          <w:p w:rsidR="00AF38BA" w:rsidRDefault="006B767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AF38BA" w:rsidRDefault="006B767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F38BA" w:rsidRDefault="006B767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F38BA" w:rsidRDefault="006B767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AF38BA" w:rsidRDefault="006B767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AF38BA" w:rsidRDefault="006B7671">
            <w:pPr>
              <w:keepNext/>
              <w:keepLines/>
              <w:spacing w:after="0" w:line="240" w:lineRule="auto"/>
              <w:jc w:val="center"/>
            </w:pPr>
            <w:r>
              <w:rPr>
                <w:b/>
                <w:sz w:val="18"/>
              </w:rPr>
              <w:t>Indeks (%)</w:t>
            </w:r>
          </w:p>
        </w:tc>
      </w:tr>
      <w:tr w:rsidR="00AF38BA">
        <w:trPr>
          <w:cantSplit/>
          <w:trHeight w:val="560"/>
        </w:trPr>
        <w:tc>
          <w:tcPr>
            <w:tcW w:w="700" w:type="dxa"/>
            <w:tcMar>
              <w:top w:w="0" w:type="dxa"/>
              <w:bottom w:w="0" w:type="dxa"/>
            </w:tcMar>
            <w:vAlign w:val="center"/>
          </w:tcPr>
          <w:p w:rsidR="00AF38BA" w:rsidRDefault="006B7671">
            <w:pPr>
              <w:keepNext/>
              <w:keepLines/>
              <w:spacing w:after="0" w:line="240" w:lineRule="auto"/>
            </w:pPr>
            <w:r>
              <w:rPr>
                <w:sz w:val="18"/>
              </w:rPr>
              <w:t>3862</w:t>
            </w:r>
          </w:p>
        </w:tc>
        <w:tc>
          <w:tcPr>
            <w:tcW w:w="3180" w:type="dxa"/>
            <w:tcMar>
              <w:top w:w="0" w:type="dxa"/>
              <w:bottom w:w="0" w:type="dxa"/>
            </w:tcMar>
            <w:vAlign w:val="center"/>
          </w:tcPr>
          <w:p w:rsidR="00AF38BA" w:rsidRDefault="006B7671">
            <w:pPr>
              <w:keepNext/>
              <w:keepLines/>
              <w:spacing w:after="0" w:line="240" w:lineRule="auto"/>
            </w:pPr>
            <w:r>
              <w:rPr>
                <w:sz w:val="18"/>
              </w:rPr>
              <w:t>Kapitalne pomoći kreditnim i ostalim financijskim institucijama te trgovačkim društvima i zadrugama izvan javnog sektora</w:t>
            </w:r>
          </w:p>
        </w:tc>
        <w:tc>
          <w:tcPr>
            <w:tcW w:w="700" w:type="dxa"/>
            <w:tcMar>
              <w:top w:w="0" w:type="dxa"/>
              <w:bottom w:w="0" w:type="dxa"/>
            </w:tcMar>
            <w:vAlign w:val="center"/>
          </w:tcPr>
          <w:p w:rsidR="00AF38BA" w:rsidRDefault="006B7671">
            <w:pPr>
              <w:keepNext/>
              <w:keepLines/>
              <w:spacing w:after="0" w:line="240" w:lineRule="auto"/>
            </w:pPr>
            <w:r>
              <w:rPr>
                <w:sz w:val="18"/>
              </w:rPr>
              <w:t>3862</w:t>
            </w:r>
          </w:p>
        </w:tc>
        <w:tc>
          <w:tcPr>
            <w:tcW w:w="1860" w:type="dxa"/>
            <w:tcMar>
              <w:top w:w="0" w:type="dxa"/>
              <w:bottom w:w="0" w:type="dxa"/>
            </w:tcMar>
            <w:vAlign w:val="center"/>
          </w:tcPr>
          <w:p w:rsidR="00AF38BA" w:rsidRDefault="006B7671">
            <w:pPr>
              <w:keepNext/>
              <w:keepLines/>
              <w:spacing w:after="0" w:line="240" w:lineRule="auto"/>
              <w:jc w:val="right"/>
            </w:pPr>
            <w:r>
              <w:rPr>
                <w:sz w:val="18"/>
              </w:rPr>
              <w:t>467.766,15</w:t>
            </w:r>
          </w:p>
        </w:tc>
        <w:tc>
          <w:tcPr>
            <w:tcW w:w="1860" w:type="dxa"/>
            <w:tcMar>
              <w:top w:w="0" w:type="dxa"/>
              <w:bottom w:w="0" w:type="dxa"/>
            </w:tcMar>
            <w:vAlign w:val="center"/>
          </w:tcPr>
          <w:p w:rsidR="00AF38BA" w:rsidRDefault="006B7671">
            <w:pPr>
              <w:keepNext/>
              <w:keepLines/>
              <w:spacing w:after="0" w:line="240" w:lineRule="auto"/>
              <w:jc w:val="right"/>
            </w:pPr>
            <w:r>
              <w:rPr>
                <w:sz w:val="18"/>
              </w:rPr>
              <w:t>584.393,36</w:t>
            </w:r>
          </w:p>
        </w:tc>
        <w:tc>
          <w:tcPr>
            <w:tcW w:w="700" w:type="dxa"/>
            <w:tcMar>
              <w:top w:w="0" w:type="dxa"/>
              <w:bottom w:w="0" w:type="dxa"/>
            </w:tcMar>
            <w:vAlign w:val="center"/>
          </w:tcPr>
          <w:p w:rsidR="00AF38BA" w:rsidRDefault="006B7671">
            <w:pPr>
              <w:keepNext/>
              <w:keepLines/>
              <w:spacing w:after="0" w:line="240" w:lineRule="auto"/>
              <w:jc w:val="right"/>
            </w:pPr>
            <w:r>
              <w:rPr>
                <w:sz w:val="18"/>
              </w:rPr>
              <w:t>124,9</w:t>
            </w:r>
          </w:p>
        </w:tc>
      </w:tr>
    </w:tbl>
    <w:p w:rsidR="00AF38BA" w:rsidRDefault="00AF38BA">
      <w:pPr>
        <w:spacing w:after="0"/>
      </w:pPr>
    </w:p>
    <w:p w:rsidR="00AF38BA" w:rsidRDefault="006B7671" w:rsidP="00187140">
      <w:pPr>
        <w:jc w:val="both"/>
      </w:pPr>
      <w:r>
        <w:t>Predmetno povećanje, u najvećoj mjeri, rezultat je povećanja rashoda za programe Razvoj poduzetništva (u 2024. godini iznose 378.438,39 eura, a u 2025. godini 413.299,58 eura) i Ruralni razvoj (u 2024. godini iznose  38.340,00 eura, a u 2025. godini  98.508,00 eura).</w:t>
      </w:r>
    </w:p>
    <w:p w:rsidR="00AF38BA" w:rsidRDefault="00AF38BA"/>
    <w:p w:rsidR="00AF38BA" w:rsidRDefault="006B7671">
      <w:pPr>
        <w:keepNext/>
        <w:spacing w:line="240" w:lineRule="auto"/>
        <w:jc w:val="center"/>
      </w:pPr>
      <w:r>
        <w:rPr>
          <w:sz w:val="28"/>
        </w:rPr>
        <w:lastRenderedPageBreak/>
        <w:t>Bilješka 28.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F38BA">
        <w:trPr>
          <w:cantSplit/>
        </w:trPr>
        <w:tc>
          <w:tcPr>
            <w:tcW w:w="700" w:type="dxa"/>
            <w:shd w:val="clear" w:color="auto" w:fill="E7F0F9"/>
            <w:tcMar>
              <w:top w:w="0" w:type="dxa"/>
              <w:bottom w:w="0" w:type="dxa"/>
            </w:tcMar>
            <w:vAlign w:val="center"/>
          </w:tcPr>
          <w:p w:rsidR="00AF38BA" w:rsidRDefault="006B767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AF38BA" w:rsidRDefault="006B767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F38BA" w:rsidRDefault="006B767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F38BA" w:rsidRDefault="006B767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AF38BA" w:rsidRDefault="006B767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AF38BA" w:rsidRDefault="006B7671">
            <w:pPr>
              <w:keepNext/>
              <w:keepLines/>
              <w:spacing w:after="0" w:line="240" w:lineRule="auto"/>
              <w:jc w:val="center"/>
            </w:pPr>
            <w:r>
              <w:rPr>
                <w:b/>
                <w:sz w:val="18"/>
              </w:rPr>
              <w:t>Indeks (%)</w:t>
            </w:r>
          </w:p>
        </w:tc>
      </w:tr>
      <w:tr w:rsidR="00AF38BA">
        <w:trPr>
          <w:cantSplit/>
          <w:trHeight w:val="560"/>
        </w:trPr>
        <w:tc>
          <w:tcPr>
            <w:tcW w:w="700" w:type="dxa"/>
            <w:tcMar>
              <w:top w:w="0" w:type="dxa"/>
              <w:bottom w:w="0" w:type="dxa"/>
            </w:tcMar>
            <w:vAlign w:val="center"/>
          </w:tcPr>
          <w:p w:rsidR="00AF38BA" w:rsidRDefault="006B7671">
            <w:pPr>
              <w:keepNext/>
              <w:keepLines/>
              <w:spacing w:after="0" w:line="240" w:lineRule="auto"/>
            </w:pPr>
            <w:r>
              <w:rPr>
                <w:sz w:val="18"/>
              </w:rPr>
              <w:t>3863</w:t>
            </w:r>
          </w:p>
        </w:tc>
        <w:tc>
          <w:tcPr>
            <w:tcW w:w="3180" w:type="dxa"/>
            <w:tcMar>
              <w:top w:w="0" w:type="dxa"/>
              <w:bottom w:w="0" w:type="dxa"/>
            </w:tcMar>
            <w:vAlign w:val="center"/>
          </w:tcPr>
          <w:p w:rsidR="00AF38BA" w:rsidRDefault="006B7671">
            <w:pPr>
              <w:keepNext/>
              <w:keepLines/>
              <w:spacing w:after="0" w:line="240" w:lineRule="auto"/>
            </w:pPr>
            <w:r>
              <w:rPr>
                <w:sz w:val="18"/>
              </w:rPr>
              <w:t>Kapitalne pomoći poljoprivrednicima i obrtnicima</w:t>
            </w:r>
          </w:p>
        </w:tc>
        <w:tc>
          <w:tcPr>
            <w:tcW w:w="700" w:type="dxa"/>
            <w:tcMar>
              <w:top w:w="0" w:type="dxa"/>
              <w:bottom w:w="0" w:type="dxa"/>
            </w:tcMar>
            <w:vAlign w:val="center"/>
          </w:tcPr>
          <w:p w:rsidR="00AF38BA" w:rsidRDefault="006B7671">
            <w:pPr>
              <w:keepNext/>
              <w:keepLines/>
              <w:spacing w:after="0" w:line="240" w:lineRule="auto"/>
            </w:pPr>
            <w:r>
              <w:rPr>
                <w:sz w:val="18"/>
              </w:rPr>
              <w:t>3863</w:t>
            </w:r>
          </w:p>
        </w:tc>
        <w:tc>
          <w:tcPr>
            <w:tcW w:w="1860" w:type="dxa"/>
            <w:tcMar>
              <w:top w:w="0" w:type="dxa"/>
              <w:bottom w:w="0" w:type="dxa"/>
            </w:tcMar>
            <w:vAlign w:val="center"/>
          </w:tcPr>
          <w:p w:rsidR="00AF38BA" w:rsidRDefault="006B7671">
            <w:pPr>
              <w:keepNext/>
              <w:keepLines/>
              <w:spacing w:after="0" w:line="240" w:lineRule="auto"/>
              <w:jc w:val="right"/>
            </w:pPr>
            <w:r>
              <w:rPr>
                <w:sz w:val="18"/>
              </w:rPr>
              <w:t>801.602,38</w:t>
            </w:r>
          </w:p>
        </w:tc>
        <w:tc>
          <w:tcPr>
            <w:tcW w:w="1860" w:type="dxa"/>
            <w:tcMar>
              <w:top w:w="0" w:type="dxa"/>
              <w:bottom w:w="0" w:type="dxa"/>
            </w:tcMar>
            <w:vAlign w:val="center"/>
          </w:tcPr>
          <w:p w:rsidR="00AF38BA" w:rsidRDefault="006B7671">
            <w:pPr>
              <w:keepNext/>
              <w:keepLines/>
              <w:spacing w:after="0" w:line="240" w:lineRule="auto"/>
              <w:jc w:val="right"/>
            </w:pPr>
            <w:r>
              <w:rPr>
                <w:sz w:val="18"/>
              </w:rPr>
              <w:t>963.118,68</w:t>
            </w:r>
          </w:p>
        </w:tc>
        <w:tc>
          <w:tcPr>
            <w:tcW w:w="700" w:type="dxa"/>
            <w:tcMar>
              <w:top w:w="0" w:type="dxa"/>
              <w:bottom w:w="0" w:type="dxa"/>
            </w:tcMar>
            <w:vAlign w:val="center"/>
          </w:tcPr>
          <w:p w:rsidR="00AF38BA" w:rsidRDefault="006B7671">
            <w:pPr>
              <w:keepNext/>
              <w:keepLines/>
              <w:spacing w:after="0" w:line="240" w:lineRule="auto"/>
              <w:jc w:val="right"/>
            </w:pPr>
            <w:r>
              <w:rPr>
                <w:sz w:val="18"/>
              </w:rPr>
              <w:t>120,1</w:t>
            </w:r>
          </w:p>
        </w:tc>
      </w:tr>
    </w:tbl>
    <w:p w:rsidR="00AF38BA" w:rsidRDefault="00AF38BA">
      <w:pPr>
        <w:spacing w:after="0"/>
      </w:pPr>
    </w:p>
    <w:p w:rsidR="00AF38BA" w:rsidRDefault="006B7671" w:rsidP="00187140">
      <w:pPr>
        <w:jc w:val="both"/>
      </w:pPr>
      <w:r>
        <w:t>Navedeno je, u najvećoj mjeri, rezultat povećanja pomoći isplaćenih u okviru programa Razvoj poduzetništva (u 2024. godini iznose 347.835,73 eura, a u 2025. godini 428.549,45 eura) i  Ruralni razvoj (u 2024. godini iznose 412.480,00 eura, a u 2025. godini 473.607,47 eura).</w:t>
      </w:r>
    </w:p>
    <w:p w:rsidR="00AF38BA" w:rsidRDefault="00AF38BA"/>
    <w:p w:rsidR="00AF38BA" w:rsidRDefault="006B7671">
      <w:pPr>
        <w:keepNext/>
        <w:spacing w:line="240" w:lineRule="auto"/>
        <w:jc w:val="center"/>
      </w:pPr>
      <w:r>
        <w:rPr>
          <w:sz w:val="28"/>
        </w:rPr>
        <w:t>Bilješka 29.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F38BA">
        <w:trPr>
          <w:cantSplit/>
        </w:trPr>
        <w:tc>
          <w:tcPr>
            <w:tcW w:w="700" w:type="dxa"/>
            <w:shd w:val="clear" w:color="auto" w:fill="E7F0F9"/>
            <w:tcMar>
              <w:top w:w="0" w:type="dxa"/>
              <w:bottom w:w="0" w:type="dxa"/>
            </w:tcMar>
            <w:vAlign w:val="center"/>
          </w:tcPr>
          <w:p w:rsidR="00AF38BA" w:rsidRDefault="006B767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AF38BA" w:rsidRDefault="006B767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F38BA" w:rsidRDefault="006B767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F38BA" w:rsidRDefault="006B767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AF38BA" w:rsidRDefault="006B767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AF38BA" w:rsidRDefault="006B7671">
            <w:pPr>
              <w:keepNext/>
              <w:keepLines/>
              <w:spacing w:after="0" w:line="240" w:lineRule="auto"/>
              <w:jc w:val="center"/>
            </w:pPr>
            <w:r>
              <w:rPr>
                <w:b/>
                <w:sz w:val="18"/>
              </w:rPr>
              <w:t>Indeks (%)</w:t>
            </w:r>
          </w:p>
        </w:tc>
      </w:tr>
      <w:tr w:rsidR="00AF38BA">
        <w:trPr>
          <w:cantSplit/>
          <w:trHeight w:val="560"/>
        </w:trPr>
        <w:tc>
          <w:tcPr>
            <w:tcW w:w="700" w:type="dxa"/>
            <w:tcMar>
              <w:top w:w="0" w:type="dxa"/>
              <w:bottom w:w="0" w:type="dxa"/>
            </w:tcMar>
            <w:vAlign w:val="center"/>
          </w:tcPr>
          <w:p w:rsidR="00AF38BA" w:rsidRDefault="006B7671">
            <w:pPr>
              <w:keepNext/>
              <w:keepLines/>
              <w:spacing w:after="0" w:line="240" w:lineRule="auto"/>
            </w:pPr>
            <w:r>
              <w:rPr>
                <w:sz w:val="18"/>
              </w:rPr>
              <w:t>7111</w:t>
            </w:r>
          </w:p>
        </w:tc>
        <w:tc>
          <w:tcPr>
            <w:tcW w:w="3180" w:type="dxa"/>
            <w:tcMar>
              <w:top w:w="0" w:type="dxa"/>
              <w:bottom w:w="0" w:type="dxa"/>
            </w:tcMar>
            <w:vAlign w:val="center"/>
          </w:tcPr>
          <w:p w:rsidR="00AF38BA" w:rsidRDefault="006B7671">
            <w:pPr>
              <w:keepNext/>
              <w:keepLines/>
              <w:spacing w:after="0" w:line="240" w:lineRule="auto"/>
            </w:pPr>
            <w:r>
              <w:rPr>
                <w:sz w:val="18"/>
              </w:rPr>
              <w:t>Zemljište</w:t>
            </w:r>
          </w:p>
        </w:tc>
        <w:tc>
          <w:tcPr>
            <w:tcW w:w="700" w:type="dxa"/>
            <w:tcMar>
              <w:top w:w="0" w:type="dxa"/>
              <w:bottom w:w="0" w:type="dxa"/>
            </w:tcMar>
            <w:vAlign w:val="center"/>
          </w:tcPr>
          <w:p w:rsidR="00AF38BA" w:rsidRDefault="006B7671">
            <w:pPr>
              <w:keepNext/>
              <w:keepLines/>
              <w:spacing w:after="0" w:line="240" w:lineRule="auto"/>
            </w:pPr>
            <w:r>
              <w:rPr>
                <w:sz w:val="18"/>
              </w:rPr>
              <w:t>7111</w:t>
            </w:r>
          </w:p>
        </w:tc>
        <w:tc>
          <w:tcPr>
            <w:tcW w:w="1860" w:type="dxa"/>
            <w:tcMar>
              <w:top w:w="0" w:type="dxa"/>
              <w:bottom w:w="0" w:type="dxa"/>
            </w:tcMar>
            <w:vAlign w:val="center"/>
          </w:tcPr>
          <w:p w:rsidR="00AF38BA" w:rsidRDefault="006B7671">
            <w:pPr>
              <w:keepNext/>
              <w:keepLines/>
              <w:spacing w:after="0" w:line="240" w:lineRule="auto"/>
              <w:jc w:val="right"/>
            </w:pPr>
            <w:r>
              <w:rPr>
                <w:sz w:val="18"/>
              </w:rPr>
              <w:t>31.389,77</w:t>
            </w:r>
          </w:p>
        </w:tc>
        <w:tc>
          <w:tcPr>
            <w:tcW w:w="1860" w:type="dxa"/>
            <w:tcMar>
              <w:top w:w="0" w:type="dxa"/>
              <w:bottom w:w="0" w:type="dxa"/>
            </w:tcMar>
            <w:vAlign w:val="center"/>
          </w:tcPr>
          <w:p w:rsidR="00AF38BA" w:rsidRDefault="006B7671">
            <w:pPr>
              <w:keepNext/>
              <w:keepLines/>
              <w:spacing w:after="0" w:line="240" w:lineRule="auto"/>
              <w:jc w:val="right"/>
            </w:pPr>
            <w:r>
              <w:rPr>
                <w:sz w:val="18"/>
              </w:rPr>
              <w:t>109.209,90</w:t>
            </w:r>
          </w:p>
        </w:tc>
        <w:tc>
          <w:tcPr>
            <w:tcW w:w="700" w:type="dxa"/>
            <w:tcMar>
              <w:top w:w="0" w:type="dxa"/>
              <w:bottom w:w="0" w:type="dxa"/>
            </w:tcMar>
            <w:vAlign w:val="center"/>
          </w:tcPr>
          <w:p w:rsidR="00AF38BA" w:rsidRDefault="006B7671">
            <w:pPr>
              <w:keepNext/>
              <w:keepLines/>
              <w:spacing w:after="0" w:line="240" w:lineRule="auto"/>
              <w:jc w:val="right"/>
            </w:pPr>
            <w:r>
              <w:rPr>
                <w:sz w:val="18"/>
              </w:rPr>
              <w:t>347,9</w:t>
            </w:r>
          </w:p>
        </w:tc>
      </w:tr>
    </w:tbl>
    <w:p w:rsidR="00AF38BA" w:rsidRDefault="00AF38BA">
      <w:pPr>
        <w:spacing w:after="0"/>
      </w:pPr>
    </w:p>
    <w:p w:rsidR="00AF38BA" w:rsidRDefault="006B7671" w:rsidP="00187140">
      <w:pPr>
        <w:jc w:val="both"/>
      </w:pPr>
      <w:r>
        <w:t>Najznačajnije povećanje prihoda ostvareno je od prodaje nekretnina u ime i za račun Republike Hrvatske temeljem Zakona o upravljanju nekretninama i pokretninama u vlasništvu Republike Hrvatske (u 2024. godini prihod nije ostvaren, a u 2025. godini iznosi 108.854,09 eura).</w:t>
      </w:r>
    </w:p>
    <w:p w:rsidR="00AF38BA" w:rsidRDefault="00AF38BA"/>
    <w:p w:rsidR="00AF38BA" w:rsidRDefault="006B7671">
      <w:pPr>
        <w:keepNext/>
        <w:spacing w:line="240" w:lineRule="auto"/>
        <w:jc w:val="center"/>
      </w:pPr>
      <w:r>
        <w:rPr>
          <w:sz w:val="28"/>
        </w:rPr>
        <w:t>Bilješka 30.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F38BA">
        <w:trPr>
          <w:cantSplit/>
        </w:trPr>
        <w:tc>
          <w:tcPr>
            <w:tcW w:w="700" w:type="dxa"/>
            <w:shd w:val="clear" w:color="auto" w:fill="E7F0F9"/>
            <w:tcMar>
              <w:top w:w="0" w:type="dxa"/>
              <w:bottom w:w="0" w:type="dxa"/>
            </w:tcMar>
            <w:vAlign w:val="center"/>
          </w:tcPr>
          <w:p w:rsidR="00AF38BA" w:rsidRDefault="006B767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AF38BA" w:rsidRDefault="006B767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F38BA" w:rsidRDefault="006B767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F38BA" w:rsidRDefault="006B767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AF38BA" w:rsidRDefault="006B767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AF38BA" w:rsidRDefault="006B7671">
            <w:pPr>
              <w:keepNext/>
              <w:keepLines/>
              <w:spacing w:after="0" w:line="240" w:lineRule="auto"/>
              <w:jc w:val="center"/>
            </w:pPr>
            <w:r>
              <w:rPr>
                <w:b/>
                <w:sz w:val="18"/>
              </w:rPr>
              <w:t>Indeks (%)</w:t>
            </w:r>
          </w:p>
        </w:tc>
      </w:tr>
      <w:tr w:rsidR="00AF38BA">
        <w:trPr>
          <w:cantSplit/>
          <w:trHeight w:val="560"/>
        </w:trPr>
        <w:tc>
          <w:tcPr>
            <w:tcW w:w="700" w:type="dxa"/>
            <w:tcMar>
              <w:top w:w="0" w:type="dxa"/>
              <w:bottom w:w="0" w:type="dxa"/>
            </w:tcMar>
            <w:vAlign w:val="center"/>
          </w:tcPr>
          <w:p w:rsidR="00AF38BA" w:rsidRDefault="006B7671">
            <w:pPr>
              <w:keepNext/>
              <w:keepLines/>
              <w:spacing w:after="0" w:line="240" w:lineRule="auto"/>
            </w:pPr>
            <w:r>
              <w:rPr>
                <w:sz w:val="18"/>
              </w:rPr>
              <w:t>4124</w:t>
            </w:r>
          </w:p>
        </w:tc>
        <w:tc>
          <w:tcPr>
            <w:tcW w:w="3180" w:type="dxa"/>
            <w:tcMar>
              <w:top w:w="0" w:type="dxa"/>
              <w:bottom w:w="0" w:type="dxa"/>
            </w:tcMar>
            <w:vAlign w:val="center"/>
          </w:tcPr>
          <w:p w:rsidR="00AF38BA" w:rsidRDefault="006B7671">
            <w:pPr>
              <w:keepNext/>
              <w:keepLines/>
              <w:spacing w:after="0" w:line="240" w:lineRule="auto"/>
            </w:pPr>
            <w:r>
              <w:rPr>
                <w:sz w:val="18"/>
              </w:rPr>
              <w:t>Ostala prava</w:t>
            </w:r>
          </w:p>
        </w:tc>
        <w:tc>
          <w:tcPr>
            <w:tcW w:w="700" w:type="dxa"/>
            <w:tcMar>
              <w:top w:w="0" w:type="dxa"/>
              <w:bottom w:w="0" w:type="dxa"/>
            </w:tcMar>
            <w:vAlign w:val="center"/>
          </w:tcPr>
          <w:p w:rsidR="00AF38BA" w:rsidRDefault="006B7671">
            <w:pPr>
              <w:keepNext/>
              <w:keepLines/>
              <w:spacing w:after="0" w:line="240" w:lineRule="auto"/>
            </w:pPr>
            <w:r>
              <w:rPr>
                <w:sz w:val="18"/>
              </w:rPr>
              <w:t>4124</w:t>
            </w:r>
          </w:p>
        </w:tc>
        <w:tc>
          <w:tcPr>
            <w:tcW w:w="1860" w:type="dxa"/>
            <w:tcMar>
              <w:top w:w="0" w:type="dxa"/>
              <w:bottom w:w="0" w:type="dxa"/>
            </w:tcMar>
            <w:vAlign w:val="center"/>
          </w:tcPr>
          <w:p w:rsidR="00AF38BA" w:rsidRDefault="006B7671">
            <w:pPr>
              <w:keepNext/>
              <w:keepLines/>
              <w:spacing w:after="0" w:line="240" w:lineRule="auto"/>
              <w:jc w:val="right"/>
            </w:pPr>
            <w:r>
              <w:rPr>
                <w:sz w:val="18"/>
              </w:rPr>
              <w:t>49.845,00</w:t>
            </w:r>
          </w:p>
        </w:tc>
        <w:tc>
          <w:tcPr>
            <w:tcW w:w="1860" w:type="dxa"/>
            <w:tcMar>
              <w:top w:w="0" w:type="dxa"/>
              <w:bottom w:w="0" w:type="dxa"/>
            </w:tcMar>
            <w:vAlign w:val="center"/>
          </w:tcPr>
          <w:p w:rsidR="00AF38BA" w:rsidRDefault="006B7671">
            <w:pPr>
              <w:keepNext/>
              <w:keepLines/>
              <w:spacing w:after="0" w:line="240" w:lineRule="auto"/>
              <w:jc w:val="right"/>
            </w:pPr>
            <w:r>
              <w:rPr>
                <w:sz w:val="18"/>
              </w:rPr>
              <w:t>647.689,78</w:t>
            </w:r>
          </w:p>
        </w:tc>
        <w:tc>
          <w:tcPr>
            <w:tcW w:w="700" w:type="dxa"/>
            <w:tcMar>
              <w:top w:w="0" w:type="dxa"/>
              <w:bottom w:w="0" w:type="dxa"/>
            </w:tcMar>
            <w:vAlign w:val="center"/>
          </w:tcPr>
          <w:p w:rsidR="00AF38BA" w:rsidRDefault="006B7671">
            <w:pPr>
              <w:keepNext/>
              <w:keepLines/>
              <w:spacing w:after="0" w:line="240" w:lineRule="auto"/>
              <w:jc w:val="right"/>
            </w:pPr>
            <w:r>
              <w:rPr>
                <w:sz w:val="18"/>
              </w:rPr>
              <w:t>1299,4</w:t>
            </w:r>
          </w:p>
        </w:tc>
      </w:tr>
    </w:tbl>
    <w:p w:rsidR="00AF38BA" w:rsidRDefault="00AF38BA">
      <w:pPr>
        <w:spacing w:after="0"/>
      </w:pPr>
    </w:p>
    <w:p w:rsidR="00AF38BA" w:rsidRDefault="006B7671" w:rsidP="00187140">
      <w:pPr>
        <w:jc w:val="both"/>
      </w:pPr>
      <w:r>
        <w:t>Predmetno povećanje, najvećim dijelom, rezultat je rashoda za projekt Uređenje županijskog arhiva u Čabru, za koji je u 2025. godini utrošeno 495.571,71 eura, a u 2024. godini nisu ostvareni. </w:t>
      </w:r>
    </w:p>
    <w:p w:rsidR="00AF38BA" w:rsidRDefault="00AF38BA"/>
    <w:p w:rsidR="00AF38BA" w:rsidRDefault="006B7671">
      <w:pPr>
        <w:keepNext/>
        <w:spacing w:line="240" w:lineRule="auto"/>
        <w:jc w:val="center"/>
      </w:pPr>
      <w:r>
        <w:rPr>
          <w:sz w:val="28"/>
        </w:rPr>
        <w:t>Bilješka 31.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F38BA">
        <w:trPr>
          <w:cantSplit/>
        </w:trPr>
        <w:tc>
          <w:tcPr>
            <w:tcW w:w="700" w:type="dxa"/>
            <w:shd w:val="clear" w:color="auto" w:fill="E7F0F9"/>
            <w:tcMar>
              <w:top w:w="0" w:type="dxa"/>
              <w:bottom w:w="0" w:type="dxa"/>
            </w:tcMar>
            <w:vAlign w:val="center"/>
          </w:tcPr>
          <w:p w:rsidR="00AF38BA" w:rsidRDefault="006B767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AF38BA" w:rsidRDefault="006B767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F38BA" w:rsidRDefault="006B767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F38BA" w:rsidRDefault="006B767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AF38BA" w:rsidRDefault="006B767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AF38BA" w:rsidRDefault="006B7671">
            <w:pPr>
              <w:keepNext/>
              <w:keepLines/>
              <w:spacing w:after="0" w:line="240" w:lineRule="auto"/>
              <w:jc w:val="center"/>
            </w:pPr>
            <w:r>
              <w:rPr>
                <w:b/>
                <w:sz w:val="18"/>
              </w:rPr>
              <w:t>Indeks (%)</w:t>
            </w:r>
          </w:p>
        </w:tc>
      </w:tr>
      <w:tr w:rsidR="00AF38BA">
        <w:trPr>
          <w:cantSplit/>
          <w:trHeight w:val="560"/>
        </w:trPr>
        <w:tc>
          <w:tcPr>
            <w:tcW w:w="700" w:type="dxa"/>
            <w:tcMar>
              <w:top w:w="0" w:type="dxa"/>
              <w:bottom w:w="0" w:type="dxa"/>
            </w:tcMar>
            <w:vAlign w:val="center"/>
          </w:tcPr>
          <w:p w:rsidR="00AF38BA" w:rsidRDefault="006B7671">
            <w:pPr>
              <w:keepNext/>
              <w:keepLines/>
              <w:spacing w:after="0" w:line="240" w:lineRule="auto"/>
            </w:pPr>
            <w:r>
              <w:rPr>
                <w:sz w:val="18"/>
              </w:rPr>
              <w:t>4212</w:t>
            </w:r>
          </w:p>
        </w:tc>
        <w:tc>
          <w:tcPr>
            <w:tcW w:w="3180" w:type="dxa"/>
            <w:tcMar>
              <w:top w:w="0" w:type="dxa"/>
              <w:bottom w:w="0" w:type="dxa"/>
            </w:tcMar>
            <w:vAlign w:val="center"/>
          </w:tcPr>
          <w:p w:rsidR="00AF38BA" w:rsidRDefault="006B7671">
            <w:pPr>
              <w:keepNext/>
              <w:keepLines/>
              <w:spacing w:after="0" w:line="240" w:lineRule="auto"/>
            </w:pPr>
            <w:r>
              <w:rPr>
                <w:sz w:val="18"/>
              </w:rPr>
              <w:t>Poslovni objekti</w:t>
            </w:r>
          </w:p>
        </w:tc>
        <w:tc>
          <w:tcPr>
            <w:tcW w:w="700" w:type="dxa"/>
            <w:tcMar>
              <w:top w:w="0" w:type="dxa"/>
              <w:bottom w:w="0" w:type="dxa"/>
            </w:tcMar>
            <w:vAlign w:val="center"/>
          </w:tcPr>
          <w:p w:rsidR="00AF38BA" w:rsidRDefault="006B7671">
            <w:pPr>
              <w:keepNext/>
              <w:keepLines/>
              <w:spacing w:after="0" w:line="240" w:lineRule="auto"/>
            </w:pPr>
            <w:r>
              <w:rPr>
                <w:sz w:val="18"/>
              </w:rPr>
              <w:t>4212</w:t>
            </w:r>
          </w:p>
        </w:tc>
        <w:tc>
          <w:tcPr>
            <w:tcW w:w="1860" w:type="dxa"/>
            <w:tcMar>
              <w:top w:w="0" w:type="dxa"/>
              <w:bottom w:w="0" w:type="dxa"/>
            </w:tcMar>
            <w:vAlign w:val="center"/>
          </w:tcPr>
          <w:p w:rsidR="00AF38BA" w:rsidRDefault="006B7671">
            <w:pPr>
              <w:keepNext/>
              <w:keepLines/>
              <w:spacing w:after="0" w:line="240" w:lineRule="auto"/>
              <w:jc w:val="right"/>
            </w:pPr>
            <w:r>
              <w:rPr>
                <w:sz w:val="18"/>
              </w:rPr>
              <w:t>130.650,00</w:t>
            </w:r>
          </w:p>
        </w:tc>
        <w:tc>
          <w:tcPr>
            <w:tcW w:w="1860" w:type="dxa"/>
            <w:tcMar>
              <w:top w:w="0" w:type="dxa"/>
              <w:bottom w:w="0" w:type="dxa"/>
            </w:tcMar>
            <w:vAlign w:val="center"/>
          </w:tcPr>
          <w:p w:rsidR="00AF38BA" w:rsidRDefault="006B7671">
            <w:pPr>
              <w:keepNext/>
              <w:keepLines/>
              <w:spacing w:after="0" w:line="240" w:lineRule="auto"/>
              <w:jc w:val="right"/>
            </w:pPr>
            <w:r>
              <w:rPr>
                <w:sz w:val="18"/>
              </w:rPr>
              <w:t>2.798.329,28</w:t>
            </w:r>
          </w:p>
        </w:tc>
        <w:tc>
          <w:tcPr>
            <w:tcW w:w="700" w:type="dxa"/>
            <w:tcMar>
              <w:top w:w="0" w:type="dxa"/>
              <w:bottom w:w="0" w:type="dxa"/>
            </w:tcMar>
            <w:vAlign w:val="center"/>
          </w:tcPr>
          <w:p w:rsidR="00AF38BA" w:rsidRDefault="006B7671">
            <w:pPr>
              <w:keepNext/>
              <w:keepLines/>
              <w:spacing w:after="0" w:line="240" w:lineRule="auto"/>
              <w:jc w:val="right"/>
            </w:pPr>
            <w:r>
              <w:rPr>
                <w:sz w:val="18"/>
              </w:rPr>
              <w:t>2141,9</w:t>
            </w:r>
          </w:p>
        </w:tc>
      </w:tr>
    </w:tbl>
    <w:p w:rsidR="00AF38BA" w:rsidRDefault="00AF38BA">
      <w:pPr>
        <w:spacing w:after="0"/>
      </w:pPr>
    </w:p>
    <w:p w:rsidR="00AF38BA" w:rsidRDefault="006B7671" w:rsidP="00187140">
      <w:pPr>
        <w:jc w:val="both"/>
      </w:pPr>
      <w:r>
        <w:t xml:space="preserve">Najvećim djelom, navedeno se odnosi na povećanje rashoda ostvarenih u okviru kapitalnog projekta Zdravstveni centar </w:t>
      </w:r>
      <w:proofErr w:type="spellStart"/>
      <w:r>
        <w:t>Rujevica</w:t>
      </w:r>
      <w:proofErr w:type="spellEnd"/>
      <w:r>
        <w:t xml:space="preserve"> – Zapad, a koji su u izvještajnom razdoblju 2025. godine iznosili 2.080.375,99 eura, dok u 2024. godini nisu ostvareni.</w:t>
      </w:r>
    </w:p>
    <w:p w:rsidR="00AF38BA" w:rsidRDefault="006B7671">
      <w:pPr>
        <w:keepNext/>
        <w:spacing w:line="240" w:lineRule="auto"/>
        <w:jc w:val="center"/>
      </w:pPr>
      <w:r>
        <w:rPr>
          <w:sz w:val="28"/>
        </w:rPr>
        <w:lastRenderedPageBreak/>
        <w:t>Bilješka 32.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F38BA">
        <w:trPr>
          <w:cantSplit/>
        </w:trPr>
        <w:tc>
          <w:tcPr>
            <w:tcW w:w="700" w:type="dxa"/>
            <w:shd w:val="clear" w:color="auto" w:fill="E7F0F9"/>
            <w:tcMar>
              <w:top w:w="0" w:type="dxa"/>
              <w:bottom w:w="0" w:type="dxa"/>
            </w:tcMar>
            <w:vAlign w:val="center"/>
          </w:tcPr>
          <w:p w:rsidR="00AF38BA" w:rsidRDefault="006B767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AF38BA" w:rsidRDefault="006B767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F38BA" w:rsidRDefault="006B767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F38BA" w:rsidRDefault="006B767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AF38BA" w:rsidRDefault="006B767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AF38BA" w:rsidRDefault="006B7671">
            <w:pPr>
              <w:keepNext/>
              <w:keepLines/>
              <w:spacing w:after="0" w:line="240" w:lineRule="auto"/>
              <w:jc w:val="center"/>
            </w:pPr>
            <w:r>
              <w:rPr>
                <w:b/>
                <w:sz w:val="18"/>
              </w:rPr>
              <w:t>Indeks (%)</w:t>
            </w:r>
          </w:p>
        </w:tc>
      </w:tr>
      <w:tr w:rsidR="00AF38BA">
        <w:trPr>
          <w:cantSplit/>
          <w:trHeight w:val="560"/>
        </w:trPr>
        <w:tc>
          <w:tcPr>
            <w:tcW w:w="700" w:type="dxa"/>
            <w:tcMar>
              <w:top w:w="0" w:type="dxa"/>
              <w:bottom w:w="0" w:type="dxa"/>
            </w:tcMar>
            <w:vAlign w:val="center"/>
          </w:tcPr>
          <w:p w:rsidR="00AF38BA" w:rsidRDefault="006B7671">
            <w:pPr>
              <w:keepNext/>
              <w:keepLines/>
              <w:spacing w:after="0" w:line="240" w:lineRule="auto"/>
            </w:pPr>
            <w:r>
              <w:rPr>
                <w:sz w:val="18"/>
              </w:rPr>
              <w:t>4221</w:t>
            </w:r>
          </w:p>
        </w:tc>
        <w:tc>
          <w:tcPr>
            <w:tcW w:w="3180" w:type="dxa"/>
            <w:tcMar>
              <w:top w:w="0" w:type="dxa"/>
              <w:bottom w:w="0" w:type="dxa"/>
            </w:tcMar>
            <w:vAlign w:val="center"/>
          </w:tcPr>
          <w:p w:rsidR="00AF38BA" w:rsidRDefault="006B7671">
            <w:pPr>
              <w:keepNext/>
              <w:keepLines/>
              <w:spacing w:after="0" w:line="240" w:lineRule="auto"/>
            </w:pPr>
            <w:r>
              <w:rPr>
                <w:sz w:val="18"/>
              </w:rPr>
              <w:t>Uredska oprema i namještaj</w:t>
            </w:r>
          </w:p>
        </w:tc>
        <w:tc>
          <w:tcPr>
            <w:tcW w:w="700" w:type="dxa"/>
            <w:tcMar>
              <w:top w:w="0" w:type="dxa"/>
              <w:bottom w:w="0" w:type="dxa"/>
            </w:tcMar>
            <w:vAlign w:val="center"/>
          </w:tcPr>
          <w:p w:rsidR="00AF38BA" w:rsidRDefault="006B7671">
            <w:pPr>
              <w:keepNext/>
              <w:keepLines/>
              <w:spacing w:after="0" w:line="240" w:lineRule="auto"/>
            </w:pPr>
            <w:r>
              <w:rPr>
                <w:sz w:val="18"/>
              </w:rPr>
              <w:t>4221</w:t>
            </w:r>
          </w:p>
        </w:tc>
        <w:tc>
          <w:tcPr>
            <w:tcW w:w="1860" w:type="dxa"/>
            <w:tcMar>
              <w:top w:w="0" w:type="dxa"/>
              <w:bottom w:w="0" w:type="dxa"/>
            </w:tcMar>
            <w:vAlign w:val="center"/>
          </w:tcPr>
          <w:p w:rsidR="00AF38BA" w:rsidRDefault="006B7671">
            <w:pPr>
              <w:keepNext/>
              <w:keepLines/>
              <w:spacing w:after="0" w:line="240" w:lineRule="auto"/>
              <w:jc w:val="right"/>
            </w:pPr>
            <w:r>
              <w:rPr>
                <w:sz w:val="18"/>
              </w:rPr>
              <w:t>67.563,56</w:t>
            </w:r>
          </w:p>
        </w:tc>
        <w:tc>
          <w:tcPr>
            <w:tcW w:w="1860" w:type="dxa"/>
            <w:tcMar>
              <w:top w:w="0" w:type="dxa"/>
              <w:bottom w:w="0" w:type="dxa"/>
            </w:tcMar>
            <w:vAlign w:val="center"/>
          </w:tcPr>
          <w:p w:rsidR="00AF38BA" w:rsidRDefault="006B7671">
            <w:pPr>
              <w:keepNext/>
              <w:keepLines/>
              <w:spacing w:after="0" w:line="240" w:lineRule="auto"/>
              <w:jc w:val="right"/>
            </w:pPr>
            <w:r>
              <w:rPr>
                <w:sz w:val="18"/>
              </w:rPr>
              <w:t>574.367,14</w:t>
            </w:r>
          </w:p>
        </w:tc>
        <w:tc>
          <w:tcPr>
            <w:tcW w:w="700" w:type="dxa"/>
            <w:tcMar>
              <w:top w:w="0" w:type="dxa"/>
              <w:bottom w:w="0" w:type="dxa"/>
            </w:tcMar>
            <w:vAlign w:val="center"/>
          </w:tcPr>
          <w:p w:rsidR="00AF38BA" w:rsidRDefault="006B7671">
            <w:pPr>
              <w:keepNext/>
              <w:keepLines/>
              <w:spacing w:after="0" w:line="240" w:lineRule="auto"/>
              <w:jc w:val="right"/>
            </w:pPr>
            <w:r>
              <w:rPr>
                <w:sz w:val="18"/>
              </w:rPr>
              <w:t>850,1</w:t>
            </w:r>
          </w:p>
        </w:tc>
      </w:tr>
    </w:tbl>
    <w:p w:rsidR="00AF38BA" w:rsidRDefault="00AF38BA">
      <w:pPr>
        <w:spacing w:after="0"/>
      </w:pPr>
    </w:p>
    <w:p w:rsidR="00187140" w:rsidRDefault="006B7671" w:rsidP="00187140">
      <w:pPr>
        <w:jc w:val="both"/>
      </w:pPr>
      <w:r>
        <w:t xml:space="preserve">Navedeno odstupanje, u najvećoj mjeri, rezultat je nabave uredske opreme i namještaja u okviru projekata Uređenje županijskog arhiva u Čabru (u 2024. godini 0,00 eura, a u 2025. godini 154.199,13 eura), te Dogradnja OŠ Omišalj - PŠ </w:t>
      </w:r>
      <w:proofErr w:type="spellStart"/>
      <w:r>
        <w:t>Dobrinj</w:t>
      </w:r>
      <w:proofErr w:type="spellEnd"/>
      <w:r>
        <w:t xml:space="preserve"> (u 2024. godini 0,00 eura, a u 2025. godini 54.051,25 eura). </w:t>
      </w:r>
    </w:p>
    <w:p w:rsidR="00AF38BA" w:rsidRDefault="006B7671" w:rsidP="00187140">
      <w:pPr>
        <w:jc w:val="both"/>
      </w:pPr>
      <w:r>
        <w:t>Također, značajno je odstupanje rashoda za nabavu opreme za upravna tijela Županije (u 2024. godini utrošeno je 18.528,39 eura, a u 2025. godini 86.640,18 eura).</w:t>
      </w:r>
    </w:p>
    <w:p w:rsidR="00AF38BA" w:rsidRDefault="00AF38BA"/>
    <w:p w:rsidR="00AF38BA" w:rsidRDefault="006B7671">
      <w:pPr>
        <w:keepNext/>
        <w:spacing w:line="240" w:lineRule="auto"/>
        <w:jc w:val="center"/>
      </w:pPr>
      <w:r>
        <w:rPr>
          <w:sz w:val="28"/>
        </w:rPr>
        <w:t>Bilješka 33.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F38BA">
        <w:trPr>
          <w:cantSplit/>
        </w:trPr>
        <w:tc>
          <w:tcPr>
            <w:tcW w:w="700" w:type="dxa"/>
            <w:shd w:val="clear" w:color="auto" w:fill="E7F0F9"/>
            <w:tcMar>
              <w:top w:w="0" w:type="dxa"/>
              <w:bottom w:w="0" w:type="dxa"/>
            </w:tcMar>
            <w:vAlign w:val="center"/>
          </w:tcPr>
          <w:p w:rsidR="00AF38BA" w:rsidRDefault="006B767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AF38BA" w:rsidRDefault="006B767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F38BA" w:rsidRDefault="006B767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F38BA" w:rsidRDefault="006B767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AF38BA" w:rsidRDefault="006B767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AF38BA" w:rsidRDefault="006B7671">
            <w:pPr>
              <w:keepNext/>
              <w:keepLines/>
              <w:spacing w:after="0" w:line="240" w:lineRule="auto"/>
              <w:jc w:val="center"/>
            </w:pPr>
            <w:r>
              <w:rPr>
                <w:b/>
                <w:sz w:val="18"/>
              </w:rPr>
              <w:t>Indeks (%)</w:t>
            </w:r>
          </w:p>
        </w:tc>
      </w:tr>
      <w:tr w:rsidR="00AF38BA">
        <w:trPr>
          <w:cantSplit/>
          <w:trHeight w:val="560"/>
        </w:trPr>
        <w:tc>
          <w:tcPr>
            <w:tcW w:w="700" w:type="dxa"/>
            <w:tcMar>
              <w:top w:w="0" w:type="dxa"/>
              <w:bottom w:w="0" w:type="dxa"/>
            </w:tcMar>
            <w:vAlign w:val="center"/>
          </w:tcPr>
          <w:p w:rsidR="00AF38BA" w:rsidRDefault="006B7671">
            <w:pPr>
              <w:keepNext/>
              <w:keepLines/>
              <w:spacing w:after="0" w:line="240" w:lineRule="auto"/>
            </w:pPr>
            <w:r>
              <w:rPr>
                <w:sz w:val="18"/>
              </w:rPr>
              <w:t>451</w:t>
            </w:r>
          </w:p>
        </w:tc>
        <w:tc>
          <w:tcPr>
            <w:tcW w:w="3180" w:type="dxa"/>
            <w:tcMar>
              <w:top w:w="0" w:type="dxa"/>
              <w:bottom w:w="0" w:type="dxa"/>
            </w:tcMar>
            <w:vAlign w:val="center"/>
          </w:tcPr>
          <w:p w:rsidR="00AF38BA" w:rsidRDefault="006B7671">
            <w:pPr>
              <w:keepNext/>
              <w:keepLines/>
              <w:spacing w:after="0" w:line="240" w:lineRule="auto"/>
            </w:pPr>
            <w:r>
              <w:rPr>
                <w:sz w:val="18"/>
              </w:rPr>
              <w:t>Dodatna ulaganja na građevinskim objektima</w:t>
            </w:r>
          </w:p>
        </w:tc>
        <w:tc>
          <w:tcPr>
            <w:tcW w:w="700" w:type="dxa"/>
            <w:tcMar>
              <w:top w:w="0" w:type="dxa"/>
              <w:bottom w:w="0" w:type="dxa"/>
            </w:tcMar>
            <w:vAlign w:val="center"/>
          </w:tcPr>
          <w:p w:rsidR="00AF38BA" w:rsidRDefault="006B7671">
            <w:pPr>
              <w:keepNext/>
              <w:keepLines/>
              <w:spacing w:after="0" w:line="240" w:lineRule="auto"/>
            </w:pPr>
            <w:r>
              <w:rPr>
                <w:sz w:val="18"/>
              </w:rPr>
              <w:t>451</w:t>
            </w:r>
          </w:p>
        </w:tc>
        <w:tc>
          <w:tcPr>
            <w:tcW w:w="1860" w:type="dxa"/>
            <w:tcMar>
              <w:top w:w="0" w:type="dxa"/>
              <w:bottom w:w="0" w:type="dxa"/>
            </w:tcMar>
            <w:vAlign w:val="center"/>
          </w:tcPr>
          <w:p w:rsidR="00AF38BA" w:rsidRDefault="006B7671">
            <w:pPr>
              <w:keepNext/>
              <w:keepLines/>
              <w:spacing w:after="0" w:line="240" w:lineRule="auto"/>
              <w:jc w:val="right"/>
            </w:pPr>
            <w:r>
              <w:rPr>
                <w:sz w:val="18"/>
              </w:rPr>
              <w:t>535.066,11</w:t>
            </w:r>
          </w:p>
        </w:tc>
        <w:tc>
          <w:tcPr>
            <w:tcW w:w="1860" w:type="dxa"/>
            <w:tcMar>
              <w:top w:w="0" w:type="dxa"/>
              <w:bottom w:w="0" w:type="dxa"/>
            </w:tcMar>
            <w:vAlign w:val="center"/>
          </w:tcPr>
          <w:p w:rsidR="00AF38BA" w:rsidRDefault="006B7671">
            <w:pPr>
              <w:keepNext/>
              <w:keepLines/>
              <w:spacing w:after="0" w:line="240" w:lineRule="auto"/>
              <w:jc w:val="right"/>
            </w:pPr>
            <w:r>
              <w:rPr>
                <w:sz w:val="18"/>
              </w:rPr>
              <w:t>1.162.909,44</w:t>
            </w:r>
          </w:p>
        </w:tc>
        <w:tc>
          <w:tcPr>
            <w:tcW w:w="700" w:type="dxa"/>
            <w:tcMar>
              <w:top w:w="0" w:type="dxa"/>
              <w:bottom w:w="0" w:type="dxa"/>
            </w:tcMar>
            <w:vAlign w:val="center"/>
          </w:tcPr>
          <w:p w:rsidR="00AF38BA" w:rsidRDefault="006B7671">
            <w:pPr>
              <w:keepNext/>
              <w:keepLines/>
              <w:spacing w:after="0" w:line="240" w:lineRule="auto"/>
              <w:jc w:val="right"/>
            </w:pPr>
            <w:r>
              <w:rPr>
                <w:sz w:val="18"/>
              </w:rPr>
              <w:t>217,3</w:t>
            </w:r>
          </w:p>
        </w:tc>
      </w:tr>
    </w:tbl>
    <w:p w:rsidR="00AF38BA" w:rsidRDefault="00AF38BA">
      <w:pPr>
        <w:spacing w:after="0"/>
      </w:pPr>
    </w:p>
    <w:p w:rsidR="00AF38BA" w:rsidRDefault="006B7671" w:rsidP="00187140">
      <w:pPr>
        <w:jc w:val="both"/>
      </w:pPr>
      <w:r>
        <w:t xml:space="preserve">Navedeno povećanje, u najvećoj mjeri, rezultat je rashoda za nove projekte započete tijekom 2024. godine:  Dogradnja OŠ Omišalj – PŠ </w:t>
      </w:r>
      <w:proofErr w:type="spellStart"/>
      <w:r>
        <w:t>Dobrinj</w:t>
      </w:r>
      <w:proofErr w:type="spellEnd"/>
      <w:r>
        <w:t xml:space="preserve"> (u 2024. godini 485.846,36 eura, a u 2025. godini 890.306,44 eura), te Sanacija krovišta Građevinske tehničke škole Rijeka (u 2024. godini iznosi 500,00 eura, a u 2025. godini 243.071,50 eura).</w:t>
      </w:r>
    </w:p>
    <w:p w:rsidR="00AF38BA" w:rsidRDefault="00AF38BA"/>
    <w:p w:rsidR="00AF38BA" w:rsidRDefault="006B7671">
      <w:pPr>
        <w:keepNext/>
        <w:spacing w:line="240" w:lineRule="auto"/>
        <w:jc w:val="center"/>
      </w:pPr>
      <w:r>
        <w:rPr>
          <w:sz w:val="28"/>
        </w:rPr>
        <w:t>Bilješka 34.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F38BA">
        <w:trPr>
          <w:cantSplit/>
        </w:trPr>
        <w:tc>
          <w:tcPr>
            <w:tcW w:w="700" w:type="dxa"/>
            <w:shd w:val="clear" w:color="auto" w:fill="E7F0F9"/>
            <w:tcMar>
              <w:top w:w="0" w:type="dxa"/>
              <w:bottom w:w="0" w:type="dxa"/>
            </w:tcMar>
            <w:vAlign w:val="center"/>
          </w:tcPr>
          <w:p w:rsidR="00AF38BA" w:rsidRDefault="006B767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AF38BA" w:rsidRDefault="006B767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F38BA" w:rsidRDefault="006B767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F38BA" w:rsidRDefault="006B767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AF38BA" w:rsidRDefault="006B767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AF38BA" w:rsidRDefault="006B7671">
            <w:pPr>
              <w:keepNext/>
              <w:keepLines/>
              <w:spacing w:after="0" w:line="240" w:lineRule="auto"/>
              <w:jc w:val="center"/>
            </w:pPr>
            <w:r>
              <w:rPr>
                <w:b/>
                <w:sz w:val="18"/>
              </w:rPr>
              <w:t>Indeks (%)</w:t>
            </w:r>
          </w:p>
        </w:tc>
      </w:tr>
      <w:tr w:rsidR="00AF38BA">
        <w:trPr>
          <w:cantSplit/>
          <w:trHeight w:val="560"/>
        </w:trPr>
        <w:tc>
          <w:tcPr>
            <w:tcW w:w="700" w:type="dxa"/>
            <w:tcMar>
              <w:top w:w="0" w:type="dxa"/>
              <w:bottom w:w="0" w:type="dxa"/>
            </w:tcMar>
            <w:vAlign w:val="center"/>
          </w:tcPr>
          <w:p w:rsidR="00AF38BA" w:rsidRDefault="006B7671">
            <w:pPr>
              <w:keepNext/>
              <w:keepLines/>
              <w:spacing w:after="0" w:line="240" w:lineRule="auto"/>
            </w:pPr>
            <w:r>
              <w:rPr>
                <w:sz w:val="18"/>
              </w:rPr>
              <w:t>8422</w:t>
            </w:r>
          </w:p>
        </w:tc>
        <w:tc>
          <w:tcPr>
            <w:tcW w:w="3180" w:type="dxa"/>
            <w:tcMar>
              <w:top w:w="0" w:type="dxa"/>
              <w:bottom w:w="0" w:type="dxa"/>
            </w:tcMar>
            <w:vAlign w:val="center"/>
          </w:tcPr>
          <w:p w:rsidR="00AF38BA" w:rsidRDefault="006B7671">
            <w:pPr>
              <w:keepNext/>
              <w:keepLines/>
              <w:spacing w:after="0" w:line="240" w:lineRule="auto"/>
            </w:pPr>
            <w:r>
              <w:rPr>
                <w:sz w:val="18"/>
              </w:rPr>
              <w:t>Primljeni krediti od kreditnih institucija u javnom sektoru</w:t>
            </w:r>
          </w:p>
        </w:tc>
        <w:tc>
          <w:tcPr>
            <w:tcW w:w="700" w:type="dxa"/>
            <w:tcMar>
              <w:top w:w="0" w:type="dxa"/>
              <w:bottom w:w="0" w:type="dxa"/>
            </w:tcMar>
            <w:vAlign w:val="center"/>
          </w:tcPr>
          <w:p w:rsidR="00AF38BA" w:rsidRDefault="006B7671">
            <w:pPr>
              <w:keepNext/>
              <w:keepLines/>
              <w:spacing w:after="0" w:line="240" w:lineRule="auto"/>
            </w:pPr>
            <w:r>
              <w:rPr>
                <w:sz w:val="18"/>
              </w:rPr>
              <w:t>8422</w:t>
            </w:r>
          </w:p>
        </w:tc>
        <w:tc>
          <w:tcPr>
            <w:tcW w:w="1860" w:type="dxa"/>
            <w:tcMar>
              <w:top w:w="0" w:type="dxa"/>
              <w:bottom w:w="0" w:type="dxa"/>
            </w:tcMar>
            <w:vAlign w:val="center"/>
          </w:tcPr>
          <w:p w:rsidR="00AF38BA" w:rsidRDefault="006B7671">
            <w:pPr>
              <w:keepNext/>
              <w:keepLines/>
              <w:spacing w:after="0" w:line="240" w:lineRule="auto"/>
              <w:jc w:val="right"/>
            </w:pPr>
            <w:r>
              <w:rPr>
                <w:sz w:val="18"/>
              </w:rPr>
              <w:t>0,00</w:t>
            </w:r>
          </w:p>
        </w:tc>
        <w:tc>
          <w:tcPr>
            <w:tcW w:w="1860" w:type="dxa"/>
            <w:tcMar>
              <w:top w:w="0" w:type="dxa"/>
              <w:bottom w:w="0" w:type="dxa"/>
            </w:tcMar>
            <w:vAlign w:val="center"/>
          </w:tcPr>
          <w:p w:rsidR="00AF38BA" w:rsidRDefault="006B7671">
            <w:pPr>
              <w:keepNext/>
              <w:keepLines/>
              <w:spacing w:after="0" w:line="240" w:lineRule="auto"/>
              <w:jc w:val="right"/>
            </w:pPr>
            <w:r>
              <w:rPr>
                <w:sz w:val="18"/>
              </w:rPr>
              <w:t>1.319.906,61</w:t>
            </w:r>
          </w:p>
        </w:tc>
        <w:tc>
          <w:tcPr>
            <w:tcW w:w="700" w:type="dxa"/>
            <w:tcMar>
              <w:top w:w="0" w:type="dxa"/>
              <w:bottom w:w="0" w:type="dxa"/>
            </w:tcMar>
            <w:vAlign w:val="center"/>
          </w:tcPr>
          <w:p w:rsidR="00AF38BA" w:rsidRDefault="006B7671">
            <w:pPr>
              <w:keepNext/>
              <w:keepLines/>
              <w:spacing w:after="0" w:line="240" w:lineRule="auto"/>
              <w:jc w:val="right"/>
            </w:pPr>
            <w:r>
              <w:rPr>
                <w:sz w:val="18"/>
              </w:rPr>
              <w:t>-</w:t>
            </w:r>
          </w:p>
        </w:tc>
      </w:tr>
    </w:tbl>
    <w:p w:rsidR="00AF38BA" w:rsidRDefault="00AF38BA">
      <w:pPr>
        <w:spacing w:after="0"/>
      </w:pPr>
    </w:p>
    <w:p w:rsidR="00AF38BA" w:rsidRDefault="006B7671" w:rsidP="00187140">
      <w:pPr>
        <w:jc w:val="both"/>
      </w:pPr>
      <w:r>
        <w:t xml:space="preserve">Za realizaciju kapitalnog projekta Zdravstveni centar </w:t>
      </w:r>
      <w:proofErr w:type="spellStart"/>
      <w:r>
        <w:t>Rujevica</w:t>
      </w:r>
      <w:proofErr w:type="spellEnd"/>
      <w:r>
        <w:t xml:space="preserve"> – Zapad, Županija je 2024. godine sklopila Ugovor o dugoročnom kreditu sa Hrvatskom bankom za obnovu i razvitak (HABOR).  U izvještajnom razdoblju 2025. godine započelo je korištenje sredstava kredita te ukupno korištena sredstva kredita iznose 1.319.906,61 eura, dok je predmetni primitak u 2024. godini izostao.</w:t>
      </w:r>
    </w:p>
    <w:p w:rsidR="00AF38BA" w:rsidRDefault="00AF38BA"/>
    <w:p w:rsidR="00AF38BA" w:rsidRDefault="006B7671">
      <w:pPr>
        <w:keepNext/>
        <w:spacing w:line="240" w:lineRule="auto"/>
        <w:jc w:val="center"/>
      </w:pPr>
      <w:r>
        <w:rPr>
          <w:sz w:val="28"/>
        </w:rPr>
        <w:lastRenderedPageBreak/>
        <w:t>Bilješka 35.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F38BA">
        <w:trPr>
          <w:cantSplit/>
        </w:trPr>
        <w:tc>
          <w:tcPr>
            <w:tcW w:w="700" w:type="dxa"/>
            <w:shd w:val="clear" w:color="auto" w:fill="E7F0F9"/>
            <w:tcMar>
              <w:top w:w="0" w:type="dxa"/>
              <w:bottom w:w="0" w:type="dxa"/>
            </w:tcMar>
            <w:vAlign w:val="center"/>
          </w:tcPr>
          <w:p w:rsidR="00AF38BA" w:rsidRDefault="006B767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AF38BA" w:rsidRDefault="006B767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F38BA" w:rsidRDefault="006B767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F38BA" w:rsidRDefault="006B767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AF38BA" w:rsidRDefault="006B767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AF38BA" w:rsidRDefault="006B7671">
            <w:pPr>
              <w:keepNext/>
              <w:keepLines/>
              <w:spacing w:after="0" w:line="240" w:lineRule="auto"/>
              <w:jc w:val="center"/>
            </w:pPr>
            <w:r>
              <w:rPr>
                <w:b/>
                <w:sz w:val="18"/>
              </w:rPr>
              <w:t>Indeks (%)</w:t>
            </w:r>
          </w:p>
        </w:tc>
      </w:tr>
      <w:tr w:rsidR="00AF38BA">
        <w:trPr>
          <w:cantSplit/>
          <w:trHeight w:val="560"/>
        </w:trPr>
        <w:tc>
          <w:tcPr>
            <w:tcW w:w="700" w:type="dxa"/>
            <w:tcMar>
              <w:top w:w="0" w:type="dxa"/>
              <w:bottom w:w="0" w:type="dxa"/>
            </w:tcMar>
            <w:vAlign w:val="center"/>
          </w:tcPr>
          <w:p w:rsidR="00AF38BA" w:rsidRDefault="006B7671">
            <w:pPr>
              <w:keepNext/>
              <w:keepLines/>
              <w:spacing w:after="0" w:line="240" w:lineRule="auto"/>
            </w:pPr>
            <w:r>
              <w:rPr>
                <w:sz w:val="18"/>
              </w:rPr>
              <w:t>5443</w:t>
            </w:r>
          </w:p>
        </w:tc>
        <w:tc>
          <w:tcPr>
            <w:tcW w:w="3180" w:type="dxa"/>
            <w:tcMar>
              <w:top w:w="0" w:type="dxa"/>
              <w:bottom w:w="0" w:type="dxa"/>
            </w:tcMar>
            <w:vAlign w:val="center"/>
          </w:tcPr>
          <w:p w:rsidR="00AF38BA" w:rsidRDefault="006B7671">
            <w:pPr>
              <w:keepNext/>
              <w:keepLines/>
              <w:spacing w:after="0" w:line="240" w:lineRule="auto"/>
            </w:pPr>
            <w:r>
              <w:rPr>
                <w:sz w:val="18"/>
              </w:rPr>
              <w:t>Otplata glavnice primljenih kredita od tuzemnih kreditnih institucija izvan javnog sektora</w:t>
            </w:r>
          </w:p>
        </w:tc>
        <w:tc>
          <w:tcPr>
            <w:tcW w:w="700" w:type="dxa"/>
            <w:tcMar>
              <w:top w:w="0" w:type="dxa"/>
              <w:bottom w:w="0" w:type="dxa"/>
            </w:tcMar>
            <w:vAlign w:val="center"/>
          </w:tcPr>
          <w:p w:rsidR="00AF38BA" w:rsidRDefault="006B7671">
            <w:pPr>
              <w:keepNext/>
              <w:keepLines/>
              <w:spacing w:after="0" w:line="240" w:lineRule="auto"/>
            </w:pPr>
            <w:r>
              <w:rPr>
                <w:sz w:val="18"/>
              </w:rPr>
              <w:t>5443</w:t>
            </w:r>
          </w:p>
        </w:tc>
        <w:tc>
          <w:tcPr>
            <w:tcW w:w="1860" w:type="dxa"/>
            <w:tcMar>
              <w:top w:w="0" w:type="dxa"/>
              <w:bottom w:w="0" w:type="dxa"/>
            </w:tcMar>
            <w:vAlign w:val="center"/>
          </w:tcPr>
          <w:p w:rsidR="00AF38BA" w:rsidRDefault="006B7671">
            <w:pPr>
              <w:keepNext/>
              <w:keepLines/>
              <w:spacing w:after="0" w:line="240" w:lineRule="auto"/>
              <w:jc w:val="right"/>
            </w:pPr>
            <w:r>
              <w:rPr>
                <w:sz w:val="18"/>
              </w:rPr>
              <w:t>257.371,64</w:t>
            </w:r>
          </w:p>
        </w:tc>
        <w:tc>
          <w:tcPr>
            <w:tcW w:w="1860" w:type="dxa"/>
            <w:tcMar>
              <w:top w:w="0" w:type="dxa"/>
              <w:bottom w:w="0" w:type="dxa"/>
            </w:tcMar>
            <w:vAlign w:val="center"/>
          </w:tcPr>
          <w:p w:rsidR="00AF38BA" w:rsidRDefault="006B7671">
            <w:pPr>
              <w:keepNext/>
              <w:keepLines/>
              <w:spacing w:after="0" w:line="240" w:lineRule="auto"/>
              <w:jc w:val="right"/>
            </w:pPr>
            <w:r>
              <w:rPr>
                <w:sz w:val="18"/>
              </w:rPr>
              <w:t>128.685,83</w:t>
            </w:r>
          </w:p>
        </w:tc>
        <w:tc>
          <w:tcPr>
            <w:tcW w:w="700" w:type="dxa"/>
            <w:tcMar>
              <w:top w:w="0" w:type="dxa"/>
              <w:bottom w:w="0" w:type="dxa"/>
            </w:tcMar>
            <w:vAlign w:val="center"/>
          </w:tcPr>
          <w:p w:rsidR="00AF38BA" w:rsidRDefault="006B7671">
            <w:pPr>
              <w:keepNext/>
              <w:keepLines/>
              <w:spacing w:after="0" w:line="240" w:lineRule="auto"/>
              <w:jc w:val="right"/>
            </w:pPr>
            <w:r>
              <w:rPr>
                <w:sz w:val="18"/>
              </w:rPr>
              <w:t>50,0</w:t>
            </w:r>
          </w:p>
        </w:tc>
      </w:tr>
    </w:tbl>
    <w:p w:rsidR="00AF38BA" w:rsidRDefault="00AF38BA">
      <w:pPr>
        <w:spacing w:after="0"/>
      </w:pPr>
    </w:p>
    <w:p w:rsidR="00AF38BA" w:rsidRDefault="006B7671" w:rsidP="00187140">
      <w:pPr>
        <w:jc w:val="both"/>
      </w:pPr>
      <w:r>
        <w:t>Za sufinanciranje EU projekta Energetske obnove zgrada osam osnovnih škola na području Županije, 2018. godine Županija je sklopila Ugovor o dugoročnom kreditu sa Privrednom bankom Zagreb d.d. U izvještajnom razdoblju 2025. godine dospjela je i podmirena posljednja rata kredita, čime je kredit otplaćen u cijelosti. </w:t>
      </w:r>
    </w:p>
    <w:p w:rsidR="00AF38BA" w:rsidRDefault="00AF38BA"/>
    <w:p w:rsidR="00AF38BA" w:rsidRDefault="006B7671">
      <w:pPr>
        <w:keepNext/>
        <w:spacing w:line="240" w:lineRule="auto"/>
        <w:jc w:val="center"/>
      </w:pPr>
      <w:r>
        <w:rPr>
          <w:b/>
          <w:sz w:val="28"/>
        </w:rPr>
        <w:t>Bilanca</w:t>
      </w:r>
    </w:p>
    <w:p w:rsidR="00AF38BA" w:rsidRDefault="006B7671">
      <w:pPr>
        <w:keepNext/>
        <w:spacing w:line="240" w:lineRule="auto"/>
        <w:jc w:val="center"/>
      </w:pPr>
      <w:r>
        <w:rPr>
          <w:sz w:val="28"/>
        </w:rPr>
        <w:t>Bilješka 36.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F38BA">
        <w:trPr>
          <w:cantSplit/>
        </w:trPr>
        <w:tc>
          <w:tcPr>
            <w:tcW w:w="700" w:type="dxa"/>
            <w:shd w:val="clear" w:color="auto" w:fill="E7F0F9"/>
            <w:tcMar>
              <w:top w:w="0" w:type="dxa"/>
              <w:bottom w:w="0" w:type="dxa"/>
            </w:tcMar>
            <w:vAlign w:val="center"/>
          </w:tcPr>
          <w:p w:rsidR="00AF38BA" w:rsidRDefault="006B767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AF38BA" w:rsidRDefault="006B767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F38BA" w:rsidRDefault="006B767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F38BA" w:rsidRDefault="006B7671">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AF38BA" w:rsidRDefault="006B7671">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AF38BA" w:rsidRDefault="006B7671">
            <w:pPr>
              <w:keepNext/>
              <w:keepLines/>
              <w:spacing w:after="0" w:line="240" w:lineRule="auto"/>
              <w:jc w:val="center"/>
            </w:pPr>
            <w:r>
              <w:rPr>
                <w:b/>
                <w:sz w:val="18"/>
              </w:rPr>
              <w:t>Indeks (%)</w:t>
            </w:r>
          </w:p>
        </w:tc>
      </w:tr>
      <w:tr w:rsidR="00AF38BA">
        <w:trPr>
          <w:cantSplit/>
          <w:trHeight w:val="560"/>
        </w:trPr>
        <w:tc>
          <w:tcPr>
            <w:tcW w:w="700" w:type="dxa"/>
            <w:tcMar>
              <w:top w:w="0" w:type="dxa"/>
              <w:bottom w:w="0" w:type="dxa"/>
            </w:tcMar>
            <w:vAlign w:val="center"/>
          </w:tcPr>
          <w:p w:rsidR="00AF38BA" w:rsidRDefault="006B7671">
            <w:pPr>
              <w:keepNext/>
              <w:keepLines/>
              <w:spacing w:after="0" w:line="240" w:lineRule="auto"/>
            </w:pPr>
            <w:r>
              <w:rPr>
                <w:sz w:val="18"/>
              </w:rPr>
              <w:t>012</w:t>
            </w:r>
          </w:p>
        </w:tc>
        <w:tc>
          <w:tcPr>
            <w:tcW w:w="3180" w:type="dxa"/>
            <w:tcMar>
              <w:top w:w="0" w:type="dxa"/>
              <w:bottom w:w="0" w:type="dxa"/>
            </w:tcMar>
            <w:vAlign w:val="center"/>
          </w:tcPr>
          <w:p w:rsidR="00AF38BA" w:rsidRDefault="006B7671">
            <w:pPr>
              <w:keepNext/>
              <w:keepLines/>
              <w:spacing w:after="0" w:line="240" w:lineRule="auto"/>
            </w:pPr>
            <w:r>
              <w:rPr>
                <w:sz w:val="18"/>
              </w:rPr>
              <w:t>Nematerijalna imovina</w:t>
            </w:r>
          </w:p>
        </w:tc>
        <w:tc>
          <w:tcPr>
            <w:tcW w:w="700" w:type="dxa"/>
            <w:tcMar>
              <w:top w:w="0" w:type="dxa"/>
              <w:bottom w:w="0" w:type="dxa"/>
            </w:tcMar>
            <w:vAlign w:val="center"/>
          </w:tcPr>
          <w:p w:rsidR="00AF38BA" w:rsidRDefault="006B7671">
            <w:pPr>
              <w:keepNext/>
              <w:keepLines/>
              <w:spacing w:after="0" w:line="240" w:lineRule="auto"/>
            </w:pPr>
            <w:r>
              <w:rPr>
                <w:sz w:val="18"/>
              </w:rPr>
              <w:t>012</w:t>
            </w:r>
          </w:p>
        </w:tc>
        <w:tc>
          <w:tcPr>
            <w:tcW w:w="1860" w:type="dxa"/>
            <w:tcMar>
              <w:top w:w="0" w:type="dxa"/>
              <w:bottom w:w="0" w:type="dxa"/>
            </w:tcMar>
            <w:vAlign w:val="center"/>
          </w:tcPr>
          <w:p w:rsidR="00AF38BA" w:rsidRDefault="006B7671">
            <w:pPr>
              <w:keepNext/>
              <w:keepLines/>
              <w:spacing w:after="0" w:line="240" w:lineRule="auto"/>
              <w:jc w:val="right"/>
            </w:pPr>
            <w:r>
              <w:rPr>
                <w:sz w:val="18"/>
              </w:rPr>
              <w:t>6.627.323,08</w:t>
            </w:r>
          </w:p>
        </w:tc>
        <w:tc>
          <w:tcPr>
            <w:tcW w:w="1860" w:type="dxa"/>
            <w:tcMar>
              <w:top w:w="0" w:type="dxa"/>
              <w:bottom w:w="0" w:type="dxa"/>
            </w:tcMar>
            <w:vAlign w:val="center"/>
          </w:tcPr>
          <w:p w:rsidR="00AF38BA" w:rsidRDefault="006B7671">
            <w:pPr>
              <w:keepNext/>
              <w:keepLines/>
              <w:spacing w:after="0" w:line="240" w:lineRule="auto"/>
              <w:jc w:val="right"/>
            </w:pPr>
            <w:r>
              <w:rPr>
                <w:sz w:val="18"/>
              </w:rPr>
              <w:t>8.765.448,35</w:t>
            </w:r>
          </w:p>
        </w:tc>
        <w:tc>
          <w:tcPr>
            <w:tcW w:w="700" w:type="dxa"/>
            <w:tcMar>
              <w:top w:w="0" w:type="dxa"/>
              <w:bottom w:w="0" w:type="dxa"/>
            </w:tcMar>
            <w:vAlign w:val="center"/>
          </w:tcPr>
          <w:p w:rsidR="00AF38BA" w:rsidRDefault="006B7671">
            <w:pPr>
              <w:keepNext/>
              <w:keepLines/>
              <w:spacing w:after="0" w:line="240" w:lineRule="auto"/>
              <w:jc w:val="right"/>
            </w:pPr>
            <w:r>
              <w:rPr>
                <w:sz w:val="18"/>
              </w:rPr>
              <w:t>132,3</w:t>
            </w:r>
          </w:p>
        </w:tc>
      </w:tr>
    </w:tbl>
    <w:p w:rsidR="00AF38BA" w:rsidRDefault="00AF38BA">
      <w:pPr>
        <w:spacing w:after="0"/>
      </w:pPr>
    </w:p>
    <w:p w:rsidR="00AF38BA" w:rsidRDefault="006B7671" w:rsidP="00187140">
      <w:pPr>
        <w:jc w:val="both"/>
      </w:pPr>
      <w:r>
        <w:t xml:space="preserve">Navedeno povećanje rezultat je, u najvećoj mjeri, završetka kapitalnih projekata i evidentiranja izvršenog ulaganja na tuđoj imovini za projekte Uređenje županijskog arhiva u Čabru (506.571,71 eura), Dogradnja OŠ Omišalj - PŠ </w:t>
      </w:r>
      <w:proofErr w:type="spellStart"/>
      <w:r>
        <w:t>Dobrinj</w:t>
      </w:r>
      <w:proofErr w:type="spellEnd"/>
      <w:r>
        <w:t xml:space="preserve"> (1.376.152,80 eura), te Sanacija krovišta Građevinske tehničke škole Rijeka (243.571,50 eura).</w:t>
      </w:r>
    </w:p>
    <w:p w:rsidR="00AF38BA" w:rsidRDefault="00AF38BA"/>
    <w:p w:rsidR="00AF38BA" w:rsidRDefault="006B7671">
      <w:pPr>
        <w:keepNext/>
        <w:spacing w:line="240" w:lineRule="auto"/>
        <w:jc w:val="center"/>
      </w:pPr>
      <w:r>
        <w:rPr>
          <w:sz w:val="28"/>
        </w:rPr>
        <w:t>Bilješka 37.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F38BA">
        <w:trPr>
          <w:cantSplit/>
        </w:trPr>
        <w:tc>
          <w:tcPr>
            <w:tcW w:w="700" w:type="dxa"/>
            <w:shd w:val="clear" w:color="auto" w:fill="E7F0F9"/>
            <w:tcMar>
              <w:top w:w="0" w:type="dxa"/>
              <w:bottom w:w="0" w:type="dxa"/>
            </w:tcMar>
            <w:vAlign w:val="center"/>
          </w:tcPr>
          <w:p w:rsidR="00AF38BA" w:rsidRDefault="006B767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AF38BA" w:rsidRDefault="006B767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F38BA" w:rsidRDefault="006B767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F38BA" w:rsidRDefault="006B7671">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AF38BA" w:rsidRDefault="006B7671">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AF38BA" w:rsidRDefault="006B7671">
            <w:pPr>
              <w:keepNext/>
              <w:keepLines/>
              <w:spacing w:after="0" w:line="240" w:lineRule="auto"/>
              <w:jc w:val="center"/>
            </w:pPr>
            <w:r>
              <w:rPr>
                <w:b/>
                <w:sz w:val="18"/>
              </w:rPr>
              <w:t>Indeks (%)</w:t>
            </w:r>
          </w:p>
        </w:tc>
      </w:tr>
      <w:tr w:rsidR="00AF38BA">
        <w:trPr>
          <w:cantSplit/>
          <w:trHeight w:val="560"/>
        </w:trPr>
        <w:tc>
          <w:tcPr>
            <w:tcW w:w="700" w:type="dxa"/>
            <w:tcMar>
              <w:top w:w="0" w:type="dxa"/>
              <w:bottom w:w="0" w:type="dxa"/>
            </w:tcMar>
            <w:vAlign w:val="center"/>
          </w:tcPr>
          <w:p w:rsidR="00AF38BA" w:rsidRDefault="006B7671">
            <w:pPr>
              <w:keepNext/>
              <w:keepLines/>
              <w:spacing w:after="0" w:line="240" w:lineRule="auto"/>
            </w:pPr>
            <w:r>
              <w:rPr>
                <w:sz w:val="18"/>
              </w:rPr>
              <w:t>0214</w:t>
            </w:r>
          </w:p>
        </w:tc>
        <w:tc>
          <w:tcPr>
            <w:tcW w:w="3180" w:type="dxa"/>
            <w:tcMar>
              <w:top w:w="0" w:type="dxa"/>
              <w:bottom w:w="0" w:type="dxa"/>
            </w:tcMar>
            <w:vAlign w:val="center"/>
          </w:tcPr>
          <w:p w:rsidR="00AF38BA" w:rsidRDefault="006B7671">
            <w:pPr>
              <w:keepNext/>
              <w:keepLines/>
              <w:spacing w:after="0" w:line="240" w:lineRule="auto"/>
            </w:pPr>
            <w:r>
              <w:rPr>
                <w:sz w:val="18"/>
              </w:rPr>
              <w:t>Ostali građevinski objekti</w:t>
            </w:r>
          </w:p>
        </w:tc>
        <w:tc>
          <w:tcPr>
            <w:tcW w:w="700" w:type="dxa"/>
            <w:tcMar>
              <w:top w:w="0" w:type="dxa"/>
              <w:bottom w:w="0" w:type="dxa"/>
            </w:tcMar>
            <w:vAlign w:val="center"/>
          </w:tcPr>
          <w:p w:rsidR="00AF38BA" w:rsidRDefault="006B7671">
            <w:pPr>
              <w:keepNext/>
              <w:keepLines/>
              <w:spacing w:after="0" w:line="240" w:lineRule="auto"/>
            </w:pPr>
            <w:r>
              <w:rPr>
                <w:sz w:val="18"/>
              </w:rPr>
              <w:t>0214</w:t>
            </w:r>
          </w:p>
        </w:tc>
        <w:tc>
          <w:tcPr>
            <w:tcW w:w="1860" w:type="dxa"/>
            <w:tcMar>
              <w:top w:w="0" w:type="dxa"/>
              <w:bottom w:w="0" w:type="dxa"/>
            </w:tcMar>
            <w:vAlign w:val="center"/>
          </w:tcPr>
          <w:p w:rsidR="00AF38BA" w:rsidRDefault="006B7671">
            <w:pPr>
              <w:keepNext/>
              <w:keepLines/>
              <w:spacing w:after="0" w:line="240" w:lineRule="auto"/>
              <w:jc w:val="right"/>
            </w:pPr>
            <w:r>
              <w:rPr>
                <w:sz w:val="18"/>
              </w:rPr>
              <w:t>2.232.301,77</w:t>
            </w:r>
          </w:p>
        </w:tc>
        <w:tc>
          <w:tcPr>
            <w:tcW w:w="1860" w:type="dxa"/>
            <w:tcMar>
              <w:top w:w="0" w:type="dxa"/>
              <w:bottom w:w="0" w:type="dxa"/>
            </w:tcMar>
            <w:vAlign w:val="center"/>
          </w:tcPr>
          <w:p w:rsidR="00AF38BA" w:rsidRDefault="006B7671">
            <w:pPr>
              <w:keepNext/>
              <w:keepLines/>
              <w:spacing w:after="0" w:line="240" w:lineRule="auto"/>
              <w:jc w:val="right"/>
            </w:pPr>
            <w:r>
              <w:rPr>
                <w:sz w:val="18"/>
              </w:rPr>
              <w:t>3.716.999,73</w:t>
            </w:r>
          </w:p>
        </w:tc>
        <w:tc>
          <w:tcPr>
            <w:tcW w:w="700" w:type="dxa"/>
            <w:tcMar>
              <w:top w:w="0" w:type="dxa"/>
              <w:bottom w:w="0" w:type="dxa"/>
            </w:tcMar>
            <w:vAlign w:val="center"/>
          </w:tcPr>
          <w:p w:rsidR="00AF38BA" w:rsidRDefault="006B7671">
            <w:pPr>
              <w:keepNext/>
              <w:keepLines/>
              <w:spacing w:after="0" w:line="240" w:lineRule="auto"/>
              <w:jc w:val="right"/>
            </w:pPr>
            <w:r>
              <w:rPr>
                <w:sz w:val="18"/>
              </w:rPr>
              <w:t>166,5</w:t>
            </w:r>
          </w:p>
        </w:tc>
      </w:tr>
    </w:tbl>
    <w:p w:rsidR="00AF38BA" w:rsidRDefault="00AF38BA">
      <w:pPr>
        <w:spacing w:after="0"/>
      </w:pPr>
    </w:p>
    <w:p w:rsidR="00AF38BA" w:rsidRDefault="006B7671" w:rsidP="00187140">
      <w:pPr>
        <w:jc w:val="both"/>
      </w:pPr>
      <w:r>
        <w:t>Predmetno povećanje rezultat je evidentiranja izvršenog ulaganja u objekte zdravstvenih ustanova u vlasništvu Županije tijekom 2025. godine, a temeljem dostavljenih podataka iz Upravnog odjela za zdravstvo koje je iste zatražio, prikupio i objedinio od zdravstvenih ustanova, sukladno Uputi o proceduri evidentiranja i izvještavanja o ulaganjima u objekte zdravstvenih ustanova u vlasništvu Primorsko-goranske županije.</w:t>
      </w:r>
    </w:p>
    <w:p w:rsidR="00AF38BA" w:rsidRDefault="00AF38BA"/>
    <w:p w:rsidR="00AF38BA" w:rsidRDefault="006B7671">
      <w:pPr>
        <w:keepNext/>
        <w:spacing w:line="240" w:lineRule="auto"/>
        <w:jc w:val="center"/>
      </w:pPr>
      <w:r>
        <w:rPr>
          <w:sz w:val="28"/>
        </w:rPr>
        <w:lastRenderedPageBreak/>
        <w:t>Bilješka 38.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F38BA">
        <w:trPr>
          <w:cantSplit/>
        </w:trPr>
        <w:tc>
          <w:tcPr>
            <w:tcW w:w="700" w:type="dxa"/>
            <w:shd w:val="clear" w:color="auto" w:fill="E7F0F9"/>
            <w:tcMar>
              <w:top w:w="0" w:type="dxa"/>
              <w:bottom w:w="0" w:type="dxa"/>
            </w:tcMar>
            <w:vAlign w:val="center"/>
          </w:tcPr>
          <w:p w:rsidR="00AF38BA" w:rsidRDefault="006B767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AF38BA" w:rsidRDefault="006B767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F38BA" w:rsidRDefault="006B767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F38BA" w:rsidRDefault="006B7671">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AF38BA" w:rsidRDefault="006B7671">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AF38BA" w:rsidRDefault="006B7671">
            <w:pPr>
              <w:keepNext/>
              <w:keepLines/>
              <w:spacing w:after="0" w:line="240" w:lineRule="auto"/>
              <w:jc w:val="center"/>
            </w:pPr>
            <w:r>
              <w:rPr>
                <w:b/>
                <w:sz w:val="18"/>
              </w:rPr>
              <w:t>Indeks (%)</w:t>
            </w:r>
          </w:p>
        </w:tc>
      </w:tr>
      <w:tr w:rsidR="00AF38BA">
        <w:trPr>
          <w:cantSplit/>
          <w:trHeight w:val="560"/>
        </w:trPr>
        <w:tc>
          <w:tcPr>
            <w:tcW w:w="700" w:type="dxa"/>
            <w:tcMar>
              <w:top w:w="0" w:type="dxa"/>
              <w:bottom w:w="0" w:type="dxa"/>
            </w:tcMar>
            <w:vAlign w:val="center"/>
          </w:tcPr>
          <w:p w:rsidR="00AF38BA" w:rsidRDefault="006B7671">
            <w:pPr>
              <w:keepNext/>
              <w:keepLines/>
              <w:spacing w:after="0" w:line="240" w:lineRule="auto"/>
            </w:pPr>
            <w:r>
              <w:rPr>
                <w:sz w:val="18"/>
              </w:rPr>
              <w:t>051</w:t>
            </w:r>
          </w:p>
        </w:tc>
        <w:tc>
          <w:tcPr>
            <w:tcW w:w="3180" w:type="dxa"/>
            <w:tcMar>
              <w:top w:w="0" w:type="dxa"/>
              <w:bottom w:w="0" w:type="dxa"/>
            </w:tcMar>
            <w:vAlign w:val="center"/>
          </w:tcPr>
          <w:p w:rsidR="00AF38BA" w:rsidRDefault="006B7671">
            <w:pPr>
              <w:keepNext/>
              <w:keepLines/>
              <w:spacing w:after="0" w:line="240" w:lineRule="auto"/>
            </w:pPr>
            <w:r>
              <w:rPr>
                <w:sz w:val="18"/>
              </w:rPr>
              <w:t>Građevinski objekti u pripremi</w:t>
            </w:r>
          </w:p>
        </w:tc>
        <w:tc>
          <w:tcPr>
            <w:tcW w:w="700" w:type="dxa"/>
            <w:tcMar>
              <w:top w:w="0" w:type="dxa"/>
              <w:bottom w:w="0" w:type="dxa"/>
            </w:tcMar>
            <w:vAlign w:val="center"/>
          </w:tcPr>
          <w:p w:rsidR="00AF38BA" w:rsidRDefault="006B7671">
            <w:pPr>
              <w:keepNext/>
              <w:keepLines/>
              <w:spacing w:after="0" w:line="240" w:lineRule="auto"/>
            </w:pPr>
            <w:r>
              <w:rPr>
                <w:sz w:val="18"/>
              </w:rPr>
              <w:t>051</w:t>
            </w:r>
          </w:p>
        </w:tc>
        <w:tc>
          <w:tcPr>
            <w:tcW w:w="1860" w:type="dxa"/>
            <w:tcMar>
              <w:top w:w="0" w:type="dxa"/>
              <w:bottom w:w="0" w:type="dxa"/>
            </w:tcMar>
            <w:vAlign w:val="center"/>
          </w:tcPr>
          <w:p w:rsidR="00AF38BA" w:rsidRDefault="006B7671">
            <w:pPr>
              <w:keepNext/>
              <w:keepLines/>
              <w:spacing w:after="0" w:line="240" w:lineRule="auto"/>
              <w:jc w:val="right"/>
            </w:pPr>
            <w:r>
              <w:rPr>
                <w:sz w:val="18"/>
              </w:rPr>
              <w:t>320.798,87</w:t>
            </w:r>
          </w:p>
        </w:tc>
        <w:tc>
          <w:tcPr>
            <w:tcW w:w="1860" w:type="dxa"/>
            <w:tcMar>
              <w:top w:w="0" w:type="dxa"/>
              <w:bottom w:w="0" w:type="dxa"/>
            </w:tcMar>
            <w:vAlign w:val="center"/>
          </w:tcPr>
          <w:p w:rsidR="00AF38BA" w:rsidRDefault="006B7671">
            <w:pPr>
              <w:keepNext/>
              <w:keepLines/>
              <w:spacing w:after="0" w:line="240" w:lineRule="auto"/>
              <w:jc w:val="right"/>
            </w:pPr>
            <w:r>
              <w:rPr>
                <w:sz w:val="18"/>
              </w:rPr>
              <w:t>3.233.202,33</w:t>
            </w:r>
          </w:p>
        </w:tc>
        <w:tc>
          <w:tcPr>
            <w:tcW w:w="700" w:type="dxa"/>
            <w:tcMar>
              <w:top w:w="0" w:type="dxa"/>
              <w:bottom w:w="0" w:type="dxa"/>
            </w:tcMar>
            <w:vAlign w:val="center"/>
          </w:tcPr>
          <w:p w:rsidR="00AF38BA" w:rsidRDefault="006B7671">
            <w:pPr>
              <w:keepNext/>
              <w:keepLines/>
              <w:spacing w:after="0" w:line="240" w:lineRule="auto"/>
              <w:jc w:val="right"/>
            </w:pPr>
            <w:r>
              <w:rPr>
                <w:sz w:val="18"/>
              </w:rPr>
              <w:t>1007,9</w:t>
            </w:r>
          </w:p>
        </w:tc>
      </w:tr>
    </w:tbl>
    <w:p w:rsidR="00AF38BA" w:rsidRDefault="00AF38BA">
      <w:pPr>
        <w:spacing w:after="0"/>
      </w:pPr>
    </w:p>
    <w:p w:rsidR="00AF38BA" w:rsidRDefault="006B7671" w:rsidP="00187140">
      <w:pPr>
        <w:jc w:val="both"/>
      </w:pPr>
      <w:r>
        <w:t xml:space="preserve">Navedeno odstupanje, u najvećoj mjeri, rezultat je provedbe kapitalnih projekata Županije: Zdravstveni centar </w:t>
      </w:r>
      <w:proofErr w:type="spellStart"/>
      <w:r>
        <w:t>Rujevica</w:t>
      </w:r>
      <w:proofErr w:type="spellEnd"/>
      <w:r>
        <w:t xml:space="preserve"> – Zapad (2.080.375,99 eura) i Izgradnja školske sportske dvorane Željezničke tehničke škole </w:t>
      </w:r>
      <w:proofErr w:type="spellStart"/>
      <w:r>
        <w:t>Moravice</w:t>
      </w:r>
      <w:proofErr w:type="spellEnd"/>
      <w:r>
        <w:t xml:space="preserve"> (652.693,72 eura).</w:t>
      </w:r>
    </w:p>
    <w:p w:rsidR="00AF38BA" w:rsidRDefault="00AF38BA"/>
    <w:p w:rsidR="00AF38BA" w:rsidRDefault="006B7671">
      <w:pPr>
        <w:keepNext/>
        <w:spacing w:line="240" w:lineRule="auto"/>
        <w:jc w:val="center"/>
      </w:pPr>
      <w:r>
        <w:rPr>
          <w:sz w:val="28"/>
        </w:rPr>
        <w:t>Bilješka 39.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F38BA">
        <w:trPr>
          <w:cantSplit/>
        </w:trPr>
        <w:tc>
          <w:tcPr>
            <w:tcW w:w="700" w:type="dxa"/>
            <w:shd w:val="clear" w:color="auto" w:fill="E7F0F9"/>
            <w:tcMar>
              <w:top w:w="0" w:type="dxa"/>
              <w:bottom w:w="0" w:type="dxa"/>
            </w:tcMar>
            <w:vAlign w:val="center"/>
          </w:tcPr>
          <w:p w:rsidR="00AF38BA" w:rsidRDefault="006B767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AF38BA" w:rsidRDefault="006B767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F38BA" w:rsidRDefault="006B767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F38BA" w:rsidRDefault="006B7671">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AF38BA" w:rsidRDefault="006B7671">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AF38BA" w:rsidRDefault="006B7671">
            <w:pPr>
              <w:keepNext/>
              <w:keepLines/>
              <w:spacing w:after="0" w:line="240" w:lineRule="auto"/>
              <w:jc w:val="center"/>
            </w:pPr>
            <w:r>
              <w:rPr>
                <w:b/>
                <w:sz w:val="18"/>
              </w:rPr>
              <w:t>Indeks (%)</w:t>
            </w:r>
          </w:p>
        </w:tc>
      </w:tr>
      <w:tr w:rsidR="00AF38BA">
        <w:trPr>
          <w:cantSplit/>
          <w:trHeight w:val="560"/>
        </w:trPr>
        <w:tc>
          <w:tcPr>
            <w:tcW w:w="700" w:type="dxa"/>
            <w:tcMar>
              <w:top w:w="0" w:type="dxa"/>
              <w:bottom w:w="0" w:type="dxa"/>
            </w:tcMar>
            <w:vAlign w:val="center"/>
          </w:tcPr>
          <w:p w:rsidR="00AF38BA" w:rsidRDefault="006B7671">
            <w:pPr>
              <w:keepNext/>
              <w:keepLines/>
              <w:spacing w:after="0" w:line="240" w:lineRule="auto"/>
            </w:pPr>
            <w:r>
              <w:rPr>
                <w:sz w:val="18"/>
              </w:rPr>
              <w:t>1638</w:t>
            </w:r>
          </w:p>
        </w:tc>
        <w:tc>
          <w:tcPr>
            <w:tcW w:w="3180" w:type="dxa"/>
            <w:tcMar>
              <w:top w:w="0" w:type="dxa"/>
              <w:bottom w:w="0" w:type="dxa"/>
            </w:tcMar>
            <w:vAlign w:val="center"/>
          </w:tcPr>
          <w:p w:rsidR="00AF38BA" w:rsidRDefault="006B7671">
            <w:pPr>
              <w:keepNext/>
              <w:keepLines/>
              <w:spacing w:after="0" w:line="240" w:lineRule="auto"/>
            </w:pPr>
            <w:r>
              <w:rPr>
                <w:sz w:val="18"/>
              </w:rPr>
              <w:t>Potraživanja za pomoći temeljem prijenosa EU sredstava</w:t>
            </w:r>
          </w:p>
        </w:tc>
        <w:tc>
          <w:tcPr>
            <w:tcW w:w="700" w:type="dxa"/>
            <w:tcMar>
              <w:top w:w="0" w:type="dxa"/>
              <w:bottom w:w="0" w:type="dxa"/>
            </w:tcMar>
            <w:vAlign w:val="center"/>
          </w:tcPr>
          <w:p w:rsidR="00AF38BA" w:rsidRDefault="006B7671">
            <w:pPr>
              <w:keepNext/>
              <w:keepLines/>
              <w:spacing w:after="0" w:line="240" w:lineRule="auto"/>
            </w:pPr>
            <w:r>
              <w:rPr>
                <w:sz w:val="18"/>
              </w:rPr>
              <w:t>1638</w:t>
            </w:r>
          </w:p>
        </w:tc>
        <w:tc>
          <w:tcPr>
            <w:tcW w:w="1860" w:type="dxa"/>
            <w:tcMar>
              <w:top w:w="0" w:type="dxa"/>
              <w:bottom w:w="0" w:type="dxa"/>
            </w:tcMar>
            <w:vAlign w:val="center"/>
          </w:tcPr>
          <w:p w:rsidR="00AF38BA" w:rsidRDefault="006B7671">
            <w:pPr>
              <w:keepNext/>
              <w:keepLines/>
              <w:spacing w:after="0" w:line="240" w:lineRule="auto"/>
              <w:jc w:val="right"/>
            </w:pPr>
            <w:r>
              <w:rPr>
                <w:sz w:val="18"/>
              </w:rPr>
              <w:t>4.487,27</w:t>
            </w:r>
          </w:p>
        </w:tc>
        <w:tc>
          <w:tcPr>
            <w:tcW w:w="1860" w:type="dxa"/>
            <w:tcMar>
              <w:top w:w="0" w:type="dxa"/>
              <w:bottom w:w="0" w:type="dxa"/>
            </w:tcMar>
            <w:vAlign w:val="center"/>
          </w:tcPr>
          <w:p w:rsidR="00AF38BA" w:rsidRDefault="006B7671">
            <w:pPr>
              <w:keepNext/>
              <w:keepLines/>
              <w:spacing w:after="0" w:line="240" w:lineRule="auto"/>
              <w:jc w:val="right"/>
            </w:pPr>
            <w:r>
              <w:rPr>
                <w:sz w:val="18"/>
              </w:rPr>
              <w:t>916.213,05</w:t>
            </w:r>
          </w:p>
        </w:tc>
        <w:tc>
          <w:tcPr>
            <w:tcW w:w="700" w:type="dxa"/>
            <w:tcMar>
              <w:top w:w="0" w:type="dxa"/>
              <w:bottom w:w="0" w:type="dxa"/>
            </w:tcMar>
            <w:vAlign w:val="center"/>
          </w:tcPr>
          <w:p w:rsidR="00AF38BA" w:rsidRDefault="006B7671">
            <w:pPr>
              <w:keepNext/>
              <w:keepLines/>
              <w:spacing w:after="0" w:line="240" w:lineRule="auto"/>
              <w:jc w:val="right"/>
            </w:pPr>
            <w:r>
              <w:rPr>
                <w:sz w:val="18"/>
              </w:rPr>
              <w:t>&gt;&gt;100</w:t>
            </w:r>
          </w:p>
        </w:tc>
      </w:tr>
    </w:tbl>
    <w:p w:rsidR="00AF38BA" w:rsidRDefault="00AF38BA">
      <w:pPr>
        <w:spacing w:after="0"/>
      </w:pPr>
    </w:p>
    <w:p w:rsidR="00AF38BA" w:rsidRDefault="006B7671" w:rsidP="00187140">
      <w:pPr>
        <w:jc w:val="both"/>
      </w:pPr>
      <w:r>
        <w:t>Navedeno povećanje rezultat je evidentiranih potraživanja temeljem podnesenih zahtjeva za nadoknadom sredstava za provedbu tri EU projekta.</w:t>
      </w:r>
    </w:p>
    <w:p w:rsidR="00AF38BA" w:rsidRDefault="00AF38BA"/>
    <w:p w:rsidR="00AF38BA" w:rsidRDefault="006B7671">
      <w:pPr>
        <w:keepNext/>
        <w:spacing w:line="240" w:lineRule="auto"/>
        <w:jc w:val="center"/>
      </w:pPr>
      <w:r>
        <w:rPr>
          <w:sz w:val="28"/>
        </w:rPr>
        <w:t>Bilješka 40.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F38BA">
        <w:trPr>
          <w:cantSplit/>
        </w:trPr>
        <w:tc>
          <w:tcPr>
            <w:tcW w:w="700" w:type="dxa"/>
            <w:shd w:val="clear" w:color="auto" w:fill="E7F0F9"/>
            <w:tcMar>
              <w:top w:w="0" w:type="dxa"/>
              <w:bottom w:w="0" w:type="dxa"/>
            </w:tcMar>
            <w:vAlign w:val="center"/>
          </w:tcPr>
          <w:p w:rsidR="00AF38BA" w:rsidRDefault="006B767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AF38BA" w:rsidRDefault="006B767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F38BA" w:rsidRDefault="006B767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F38BA" w:rsidRDefault="006B7671">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AF38BA" w:rsidRDefault="006B7671">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AF38BA" w:rsidRDefault="006B7671">
            <w:pPr>
              <w:keepNext/>
              <w:keepLines/>
              <w:spacing w:after="0" w:line="240" w:lineRule="auto"/>
              <w:jc w:val="center"/>
            </w:pPr>
            <w:r>
              <w:rPr>
                <w:b/>
                <w:sz w:val="18"/>
              </w:rPr>
              <w:t>Indeks (%)</w:t>
            </w:r>
          </w:p>
        </w:tc>
      </w:tr>
      <w:tr w:rsidR="00AF38BA">
        <w:trPr>
          <w:cantSplit/>
          <w:trHeight w:val="560"/>
        </w:trPr>
        <w:tc>
          <w:tcPr>
            <w:tcW w:w="700" w:type="dxa"/>
            <w:tcMar>
              <w:top w:w="0" w:type="dxa"/>
              <w:bottom w:w="0" w:type="dxa"/>
            </w:tcMar>
            <w:vAlign w:val="center"/>
          </w:tcPr>
          <w:p w:rsidR="00AF38BA" w:rsidRDefault="006B7671">
            <w:pPr>
              <w:keepNext/>
              <w:keepLines/>
              <w:spacing w:after="0" w:line="240" w:lineRule="auto"/>
            </w:pPr>
            <w:r>
              <w:rPr>
                <w:sz w:val="18"/>
              </w:rPr>
              <w:t>169</w:t>
            </w:r>
          </w:p>
        </w:tc>
        <w:tc>
          <w:tcPr>
            <w:tcW w:w="3180" w:type="dxa"/>
            <w:tcMar>
              <w:top w:w="0" w:type="dxa"/>
              <w:bottom w:w="0" w:type="dxa"/>
            </w:tcMar>
            <w:vAlign w:val="center"/>
          </w:tcPr>
          <w:p w:rsidR="00AF38BA" w:rsidRDefault="006B7671">
            <w:pPr>
              <w:keepNext/>
              <w:keepLines/>
              <w:spacing w:after="0" w:line="240" w:lineRule="auto"/>
            </w:pPr>
            <w:r>
              <w:rPr>
                <w:sz w:val="18"/>
              </w:rPr>
              <w:t>Ispravak vrijednosti potraživanja</w:t>
            </w:r>
          </w:p>
        </w:tc>
        <w:tc>
          <w:tcPr>
            <w:tcW w:w="700" w:type="dxa"/>
            <w:tcMar>
              <w:top w:w="0" w:type="dxa"/>
              <w:bottom w:w="0" w:type="dxa"/>
            </w:tcMar>
            <w:vAlign w:val="center"/>
          </w:tcPr>
          <w:p w:rsidR="00AF38BA" w:rsidRDefault="006B7671">
            <w:pPr>
              <w:keepNext/>
              <w:keepLines/>
              <w:spacing w:after="0" w:line="240" w:lineRule="auto"/>
            </w:pPr>
            <w:r>
              <w:rPr>
                <w:sz w:val="18"/>
              </w:rPr>
              <w:t>169</w:t>
            </w:r>
          </w:p>
        </w:tc>
        <w:tc>
          <w:tcPr>
            <w:tcW w:w="1860" w:type="dxa"/>
            <w:tcMar>
              <w:top w:w="0" w:type="dxa"/>
              <w:bottom w:w="0" w:type="dxa"/>
            </w:tcMar>
            <w:vAlign w:val="center"/>
          </w:tcPr>
          <w:p w:rsidR="00AF38BA" w:rsidRDefault="006B7671">
            <w:pPr>
              <w:keepNext/>
              <w:keepLines/>
              <w:spacing w:after="0" w:line="240" w:lineRule="auto"/>
              <w:jc w:val="right"/>
            </w:pPr>
            <w:r>
              <w:rPr>
                <w:sz w:val="18"/>
              </w:rPr>
              <w:t>861.970,68</w:t>
            </w:r>
          </w:p>
        </w:tc>
        <w:tc>
          <w:tcPr>
            <w:tcW w:w="1860" w:type="dxa"/>
            <w:tcMar>
              <w:top w:w="0" w:type="dxa"/>
              <w:bottom w:w="0" w:type="dxa"/>
            </w:tcMar>
            <w:vAlign w:val="center"/>
          </w:tcPr>
          <w:p w:rsidR="00AF38BA" w:rsidRDefault="006B7671">
            <w:pPr>
              <w:keepNext/>
              <w:keepLines/>
              <w:spacing w:after="0" w:line="240" w:lineRule="auto"/>
              <w:jc w:val="right"/>
            </w:pPr>
            <w:r>
              <w:rPr>
                <w:sz w:val="18"/>
              </w:rPr>
              <w:t>781.856,04</w:t>
            </w:r>
          </w:p>
        </w:tc>
        <w:tc>
          <w:tcPr>
            <w:tcW w:w="700" w:type="dxa"/>
            <w:tcMar>
              <w:top w:w="0" w:type="dxa"/>
              <w:bottom w:w="0" w:type="dxa"/>
            </w:tcMar>
            <w:vAlign w:val="center"/>
          </w:tcPr>
          <w:p w:rsidR="00AF38BA" w:rsidRDefault="006B7671">
            <w:pPr>
              <w:keepNext/>
              <w:keepLines/>
              <w:spacing w:after="0" w:line="240" w:lineRule="auto"/>
              <w:jc w:val="right"/>
            </w:pPr>
            <w:r>
              <w:rPr>
                <w:sz w:val="18"/>
              </w:rPr>
              <w:t>90,7</w:t>
            </w:r>
          </w:p>
        </w:tc>
      </w:tr>
    </w:tbl>
    <w:p w:rsidR="00AF38BA" w:rsidRDefault="00AF38BA">
      <w:pPr>
        <w:spacing w:after="0"/>
      </w:pPr>
    </w:p>
    <w:p w:rsidR="00AF38BA" w:rsidRDefault="006B7671" w:rsidP="00187140">
      <w:pPr>
        <w:jc w:val="both"/>
      </w:pPr>
      <w:r>
        <w:t>Na dan 31. prosinca 2025. godine Primorsko-goranska županija je, temeljem članka 129. Pravilnika o proračunskom računovodstvu i računskom planu proračuna („Narodne novine“, broj 158/23 i 154/24), provela ispravak vrijednosti potraživanja u iznosu od ukupno 781.856,04 eura. </w:t>
      </w:r>
      <w:r>
        <w:br/>
        <w:t>Ispravak vrijednosti potraživanja proveden je uzimajući u obzir kašnjenje u naplati preko 2 godine i pokretanje stečajnog i/ili likvidacijskog postupka nad dužnikom.</w:t>
      </w:r>
    </w:p>
    <w:p w:rsidR="00AF38BA" w:rsidRDefault="00AF38BA"/>
    <w:p w:rsidR="00AF38BA" w:rsidRDefault="006B7671">
      <w:pPr>
        <w:keepNext/>
        <w:spacing w:line="240" w:lineRule="auto"/>
        <w:jc w:val="center"/>
      </w:pPr>
      <w:r>
        <w:rPr>
          <w:sz w:val="28"/>
        </w:rPr>
        <w:t>Bilješka 41.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F38BA">
        <w:trPr>
          <w:cantSplit/>
        </w:trPr>
        <w:tc>
          <w:tcPr>
            <w:tcW w:w="700" w:type="dxa"/>
            <w:shd w:val="clear" w:color="auto" w:fill="E7F0F9"/>
            <w:tcMar>
              <w:top w:w="0" w:type="dxa"/>
              <w:bottom w:w="0" w:type="dxa"/>
            </w:tcMar>
            <w:vAlign w:val="center"/>
          </w:tcPr>
          <w:p w:rsidR="00AF38BA" w:rsidRDefault="006B767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AF38BA" w:rsidRDefault="006B767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F38BA" w:rsidRDefault="006B767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F38BA" w:rsidRDefault="006B7671">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AF38BA" w:rsidRDefault="006B7671">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AF38BA" w:rsidRDefault="006B7671">
            <w:pPr>
              <w:keepNext/>
              <w:keepLines/>
              <w:spacing w:after="0" w:line="240" w:lineRule="auto"/>
              <w:jc w:val="center"/>
            </w:pPr>
            <w:r>
              <w:rPr>
                <w:b/>
                <w:sz w:val="18"/>
              </w:rPr>
              <w:t>Indeks (%)</w:t>
            </w:r>
          </w:p>
        </w:tc>
      </w:tr>
      <w:tr w:rsidR="00AF38BA">
        <w:trPr>
          <w:cantSplit/>
          <w:trHeight w:val="560"/>
        </w:trPr>
        <w:tc>
          <w:tcPr>
            <w:tcW w:w="700" w:type="dxa"/>
            <w:tcMar>
              <w:top w:w="0" w:type="dxa"/>
              <w:bottom w:w="0" w:type="dxa"/>
            </w:tcMar>
            <w:vAlign w:val="center"/>
          </w:tcPr>
          <w:p w:rsidR="00AF38BA" w:rsidRDefault="006B7671">
            <w:pPr>
              <w:keepNext/>
              <w:keepLines/>
              <w:spacing w:after="0" w:line="240" w:lineRule="auto"/>
            </w:pPr>
            <w:r>
              <w:rPr>
                <w:sz w:val="18"/>
              </w:rPr>
              <w:t>2363</w:t>
            </w:r>
          </w:p>
        </w:tc>
        <w:tc>
          <w:tcPr>
            <w:tcW w:w="3180" w:type="dxa"/>
            <w:tcMar>
              <w:top w:w="0" w:type="dxa"/>
              <w:bottom w:w="0" w:type="dxa"/>
            </w:tcMar>
            <w:vAlign w:val="center"/>
          </w:tcPr>
          <w:p w:rsidR="00AF38BA" w:rsidRDefault="006B7671">
            <w:pPr>
              <w:keepNext/>
              <w:keepLines/>
              <w:spacing w:after="0" w:line="240" w:lineRule="auto"/>
            </w:pPr>
            <w:r>
              <w:rPr>
                <w:sz w:val="18"/>
              </w:rPr>
              <w:t>Obveze za pomoći drugom proračunu i izvanproračunskim korisnicima</w:t>
            </w:r>
          </w:p>
        </w:tc>
        <w:tc>
          <w:tcPr>
            <w:tcW w:w="700" w:type="dxa"/>
            <w:tcMar>
              <w:top w:w="0" w:type="dxa"/>
              <w:bottom w:w="0" w:type="dxa"/>
            </w:tcMar>
            <w:vAlign w:val="center"/>
          </w:tcPr>
          <w:p w:rsidR="00AF38BA" w:rsidRDefault="006B7671">
            <w:pPr>
              <w:keepNext/>
              <w:keepLines/>
              <w:spacing w:after="0" w:line="240" w:lineRule="auto"/>
            </w:pPr>
            <w:r>
              <w:rPr>
                <w:sz w:val="18"/>
              </w:rPr>
              <w:t>2363</w:t>
            </w:r>
          </w:p>
        </w:tc>
        <w:tc>
          <w:tcPr>
            <w:tcW w:w="1860" w:type="dxa"/>
            <w:tcMar>
              <w:top w:w="0" w:type="dxa"/>
              <w:bottom w:w="0" w:type="dxa"/>
            </w:tcMar>
            <w:vAlign w:val="center"/>
          </w:tcPr>
          <w:p w:rsidR="00AF38BA" w:rsidRDefault="006B7671">
            <w:pPr>
              <w:keepNext/>
              <w:keepLines/>
              <w:spacing w:after="0" w:line="240" w:lineRule="auto"/>
              <w:jc w:val="right"/>
            </w:pPr>
            <w:r>
              <w:rPr>
                <w:sz w:val="18"/>
              </w:rPr>
              <w:t>0,00</w:t>
            </w:r>
          </w:p>
        </w:tc>
        <w:tc>
          <w:tcPr>
            <w:tcW w:w="1860" w:type="dxa"/>
            <w:tcMar>
              <w:top w:w="0" w:type="dxa"/>
              <w:bottom w:w="0" w:type="dxa"/>
            </w:tcMar>
            <w:vAlign w:val="center"/>
          </w:tcPr>
          <w:p w:rsidR="00AF38BA" w:rsidRDefault="006B7671">
            <w:pPr>
              <w:keepNext/>
              <w:keepLines/>
              <w:spacing w:after="0" w:line="240" w:lineRule="auto"/>
              <w:jc w:val="right"/>
            </w:pPr>
            <w:r>
              <w:rPr>
                <w:sz w:val="18"/>
              </w:rPr>
              <w:t>877.091,22</w:t>
            </w:r>
          </w:p>
        </w:tc>
        <w:tc>
          <w:tcPr>
            <w:tcW w:w="700" w:type="dxa"/>
            <w:tcMar>
              <w:top w:w="0" w:type="dxa"/>
              <w:bottom w:w="0" w:type="dxa"/>
            </w:tcMar>
            <w:vAlign w:val="center"/>
          </w:tcPr>
          <w:p w:rsidR="00AF38BA" w:rsidRDefault="006B7671">
            <w:pPr>
              <w:keepNext/>
              <w:keepLines/>
              <w:spacing w:after="0" w:line="240" w:lineRule="auto"/>
              <w:jc w:val="right"/>
            </w:pPr>
            <w:r>
              <w:rPr>
                <w:sz w:val="18"/>
              </w:rPr>
              <w:t>-</w:t>
            </w:r>
          </w:p>
        </w:tc>
      </w:tr>
    </w:tbl>
    <w:p w:rsidR="00AF38BA" w:rsidRDefault="00AF38BA">
      <w:pPr>
        <w:spacing w:after="0"/>
      </w:pPr>
    </w:p>
    <w:p w:rsidR="00AF38BA" w:rsidRDefault="006B7671" w:rsidP="00187140">
      <w:pPr>
        <w:jc w:val="both"/>
      </w:pPr>
      <w:r>
        <w:t xml:space="preserve">Predmetno odstupanje rezultat je promjena u računovodstvenom evidentiranju obveza za pomoći dane drugom proračunu i izvanproračunskim korisnicima u 2025. godini. Pravilnikom </w:t>
      </w:r>
      <w:r>
        <w:lastRenderedPageBreak/>
        <w:t>o proračunskom računovodstvu i Računskom planu („Narodne novine“ broj 158/23 i 154/24) koji se primjenjuje u računovodstvenim evidencijama od 01. siječnja 2025. godine, utvrđeno je da se u trenutku nastanka obveze temeljem izdanog akta nadležnog tijela, prema načelu nastanka događaja evidentira obveza za pomoći dane drugom proračunu i izvanproračunskim korisnicima, dok su se iste u prethodnom izvještajnom razdoblju evidentirale po novčanom načelu odnosno u trenutku plaćanja.</w:t>
      </w:r>
    </w:p>
    <w:p w:rsidR="00AF38BA" w:rsidRDefault="00AF38BA"/>
    <w:p w:rsidR="00AF38BA" w:rsidRDefault="006B7671">
      <w:pPr>
        <w:keepNext/>
        <w:spacing w:line="240" w:lineRule="auto"/>
        <w:jc w:val="center"/>
      </w:pPr>
      <w:r>
        <w:rPr>
          <w:sz w:val="28"/>
        </w:rPr>
        <w:t>Bilješka 42.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F38BA">
        <w:trPr>
          <w:cantSplit/>
        </w:trPr>
        <w:tc>
          <w:tcPr>
            <w:tcW w:w="700" w:type="dxa"/>
            <w:shd w:val="clear" w:color="auto" w:fill="E7F0F9"/>
            <w:tcMar>
              <w:top w:w="0" w:type="dxa"/>
              <w:bottom w:w="0" w:type="dxa"/>
            </w:tcMar>
            <w:vAlign w:val="center"/>
          </w:tcPr>
          <w:p w:rsidR="00AF38BA" w:rsidRDefault="006B767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AF38BA" w:rsidRDefault="006B767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F38BA" w:rsidRDefault="006B767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F38BA" w:rsidRDefault="006B7671">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AF38BA" w:rsidRDefault="006B7671">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AF38BA" w:rsidRDefault="006B7671">
            <w:pPr>
              <w:keepNext/>
              <w:keepLines/>
              <w:spacing w:after="0" w:line="240" w:lineRule="auto"/>
              <w:jc w:val="center"/>
            </w:pPr>
            <w:r>
              <w:rPr>
                <w:b/>
                <w:sz w:val="18"/>
              </w:rPr>
              <w:t>Indeks (%)</w:t>
            </w:r>
          </w:p>
        </w:tc>
      </w:tr>
      <w:tr w:rsidR="00AF38BA">
        <w:trPr>
          <w:cantSplit/>
          <w:trHeight w:val="560"/>
        </w:trPr>
        <w:tc>
          <w:tcPr>
            <w:tcW w:w="700" w:type="dxa"/>
            <w:tcMar>
              <w:top w:w="0" w:type="dxa"/>
              <w:bottom w:w="0" w:type="dxa"/>
            </w:tcMar>
            <w:vAlign w:val="center"/>
          </w:tcPr>
          <w:p w:rsidR="00AF38BA" w:rsidRDefault="006B7671">
            <w:pPr>
              <w:keepNext/>
              <w:keepLines/>
              <w:spacing w:after="0" w:line="240" w:lineRule="auto"/>
            </w:pPr>
            <w:r>
              <w:rPr>
                <w:sz w:val="18"/>
              </w:rPr>
              <w:t>239</w:t>
            </w:r>
          </w:p>
        </w:tc>
        <w:tc>
          <w:tcPr>
            <w:tcW w:w="3180" w:type="dxa"/>
            <w:tcMar>
              <w:top w:w="0" w:type="dxa"/>
              <w:bottom w:w="0" w:type="dxa"/>
            </w:tcMar>
            <w:vAlign w:val="center"/>
          </w:tcPr>
          <w:p w:rsidR="00AF38BA" w:rsidRDefault="006B7671">
            <w:pPr>
              <w:keepNext/>
              <w:keepLines/>
              <w:spacing w:after="0" w:line="240" w:lineRule="auto"/>
            </w:pPr>
            <w:r>
              <w:rPr>
                <w:sz w:val="18"/>
              </w:rPr>
              <w:t>Ostale tekuće obveze</w:t>
            </w:r>
          </w:p>
        </w:tc>
        <w:tc>
          <w:tcPr>
            <w:tcW w:w="700" w:type="dxa"/>
            <w:tcMar>
              <w:top w:w="0" w:type="dxa"/>
              <w:bottom w:w="0" w:type="dxa"/>
            </w:tcMar>
            <w:vAlign w:val="center"/>
          </w:tcPr>
          <w:p w:rsidR="00AF38BA" w:rsidRDefault="006B7671">
            <w:pPr>
              <w:keepNext/>
              <w:keepLines/>
              <w:spacing w:after="0" w:line="240" w:lineRule="auto"/>
            </w:pPr>
            <w:r>
              <w:rPr>
                <w:sz w:val="18"/>
              </w:rPr>
              <w:t>239</w:t>
            </w:r>
          </w:p>
        </w:tc>
        <w:tc>
          <w:tcPr>
            <w:tcW w:w="1860" w:type="dxa"/>
            <w:tcMar>
              <w:top w:w="0" w:type="dxa"/>
              <w:bottom w:w="0" w:type="dxa"/>
            </w:tcMar>
            <w:vAlign w:val="center"/>
          </w:tcPr>
          <w:p w:rsidR="00AF38BA" w:rsidRDefault="006B7671">
            <w:pPr>
              <w:keepNext/>
              <w:keepLines/>
              <w:spacing w:after="0" w:line="240" w:lineRule="auto"/>
              <w:jc w:val="right"/>
            </w:pPr>
            <w:r>
              <w:rPr>
                <w:sz w:val="18"/>
              </w:rPr>
              <w:t>27.430,07</w:t>
            </w:r>
          </w:p>
        </w:tc>
        <w:tc>
          <w:tcPr>
            <w:tcW w:w="1860" w:type="dxa"/>
            <w:tcMar>
              <w:top w:w="0" w:type="dxa"/>
              <w:bottom w:w="0" w:type="dxa"/>
            </w:tcMar>
            <w:vAlign w:val="center"/>
          </w:tcPr>
          <w:p w:rsidR="00AF38BA" w:rsidRDefault="006B7671">
            <w:pPr>
              <w:keepNext/>
              <w:keepLines/>
              <w:spacing w:after="0" w:line="240" w:lineRule="auto"/>
              <w:jc w:val="right"/>
            </w:pPr>
            <w:r>
              <w:rPr>
                <w:sz w:val="18"/>
              </w:rPr>
              <w:t>288.075,88</w:t>
            </w:r>
          </w:p>
        </w:tc>
        <w:tc>
          <w:tcPr>
            <w:tcW w:w="700" w:type="dxa"/>
            <w:tcMar>
              <w:top w:w="0" w:type="dxa"/>
              <w:bottom w:w="0" w:type="dxa"/>
            </w:tcMar>
            <w:vAlign w:val="center"/>
          </w:tcPr>
          <w:p w:rsidR="00AF38BA" w:rsidRDefault="006B7671">
            <w:pPr>
              <w:keepNext/>
              <w:keepLines/>
              <w:spacing w:after="0" w:line="240" w:lineRule="auto"/>
              <w:jc w:val="right"/>
            </w:pPr>
            <w:r>
              <w:rPr>
                <w:sz w:val="18"/>
              </w:rPr>
              <w:t>1050,2</w:t>
            </w:r>
          </w:p>
        </w:tc>
      </w:tr>
    </w:tbl>
    <w:p w:rsidR="00AF38BA" w:rsidRDefault="00AF38BA">
      <w:pPr>
        <w:spacing w:after="0"/>
      </w:pPr>
    </w:p>
    <w:p w:rsidR="00187140" w:rsidRDefault="006B7671" w:rsidP="00187140">
      <w:pPr>
        <w:jc w:val="both"/>
      </w:pPr>
      <w:r>
        <w:t>Predmetno povećanje, u najvećoj mjeri, rezultat je evidentirane obveze za povrat više ostvarenih sredstava pomoći izravnanja u 2025. godini za decentralizirane funkcije (osnovno školstvo, srednje školstvo i zdravstvene ustanove) u Državni proračun u iznosu od ukupno 264.455,22 eura.</w:t>
      </w:r>
    </w:p>
    <w:p w:rsidR="00AF38BA" w:rsidRDefault="006B7671" w:rsidP="00187140">
      <w:pPr>
        <w:jc w:val="both"/>
      </w:pPr>
      <w:r>
        <w:t>Naime, Uredbom o načinu financiranja decentraliziranih funkcija utvrđeno je da jedinice lokalne i područne (regionalne) samouprave koje su preuzele financiranje decentraliziranih funkcija u slučaju kada ostvare više sredstava iz pomoći izravnanja za decentralizirane funkcije nego je to utvrđeno minimalnim financijskim standardima, višak sredstava, dužne su vratiti na račun Državnog proračuna Republike Hrvatske.</w:t>
      </w:r>
    </w:p>
    <w:p w:rsidR="00AF38BA" w:rsidRDefault="00AF38BA"/>
    <w:p w:rsidR="00AF38BA" w:rsidRDefault="006B7671">
      <w:pPr>
        <w:keepNext/>
        <w:spacing w:line="240" w:lineRule="auto"/>
        <w:jc w:val="center"/>
      </w:pPr>
      <w:r>
        <w:rPr>
          <w:sz w:val="28"/>
        </w:rPr>
        <w:t>Bilješka 43.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F38BA">
        <w:trPr>
          <w:cantSplit/>
        </w:trPr>
        <w:tc>
          <w:tcPr>
            <w:tcW w:w="700" w:type="dxa"/>
            <w:shd w:val="clear" w:color="auto" w:fill="E7F0F9"/>
            <w:tcMar>
              <w:top w:w="0" w:type="dxa"/>
              <w:bottom w:w="0" w:type="dxa"/>
            </w:tcMar>
            <w:vAlign w:val="center"/>
          </w:tcPr>
          <w:p w:rsidR="00AF38BA" w:rsidRDefault="006B767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AF38BA" w:rsidRDefault="006B767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F38BA" w:rsidRDefault="006B767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F38BA" w:rsidRDefault="006B7671">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AF38BA" w:rsidRDefault="006B7671">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AF38BA" w:rsidRDefault="006B7671">
            <w:pPr>
              <w:keepNext/>
              <w:keepLines/>
              <w:spacing w:after="0" w:line="240" w:lineRule="auto"/>
              <w:jc w:val="center"/>
            </w:pPr>
            <w:r>
              <w:rPr>
                <w:b/>
                <w:sz w:val="18"/>
              </w:rPr>
              <w:t>Indeks (%)</w:t>
            </w:r>
          </w:p>
        </w:tc>
      </w:tr>
      <w:tr w:rsidR="00AF38BA">
        <w:trPr>
          <w:cantSplit/>
          <w:trHeight w:val="560"/>
        </w:trPr>
        <w:tc>
          <w:tcPr>
            <w:tcW w:w="700" w:type="dxa"/>
            <w:tcMar>
              <w:top w:w="0" w:type="dxa"/>
              <w:bottom w:w="0" w:type="dxa"/>
            </w:tcMar>
            <w:vAlign w:val="center"/>
          </w:tcPr>
          <w:p w:rsidR="00AF38BA" w:rsidRDefault="006B7671">
            <w:pPr>
              <w:keepNext/>
              <w:keepLines/>
              <w:spacing w:after="0" w:line="240" w:lineRule="auto"/>
            </w:pPr>
            <w:r>
              <w:rPr>
                <w:sz w:val="18"/>
              </w:rPr>
              <w:t>26</w:t>
            </w:r>
          </w:p>
        </w:tc>
        <w:tc>
          <w:tcPr>
            <w:tcW w:w="3180" w:type="dxa"/>
            <w:tcMar>
              <w:top w:w="0" w:type="dxa"/>
              <w:bottom w:w="0" w:type="dxa"/>
            </w:tcMar>
            <w:vAlign w:val="center"/>
          </w:tcPr>
          <w:p w:rsidR="00AF38BA" w:rsidRDefault="006B7671">
            <w:pPr>
              <w:keepNext/>
              <w:keepLines/>
              <w:spacing w:after="0" w:line="240" w:lineRule="auto"/>
            </w:pPr>
            <w:r>
              <w:rPr>
                <w:sz w:val="18"/>
              </w:rPr>
              <w:t>Obveze za kredite i zajmove (šifre 26X1+26X2)</w:t>
            </w:r>
          </w:p>
        </w:tc>
        <w:tc>
          <w:tcPr>
            <w:tcW w:w="700" w:type="dxa"/>
            <w:tcMar>
              <w:top w:w="0" w:type="dxa"/>
              <w:bottom w:w="0" w:type="dxa"/>
            </w:tcMar>
            <w:vAlign w:val="center"/>
          </w:tcPr>
          <w:p w:rsidR="00AF38BA" w:rsidRDefault="006B7671">
            <w:pPr>
              <w:keepNext/>
              <w:keepLines/>
              <w:spacing w:after="0" w:line="240" w:lineRule="auto"/>
            </w:pPr>
            <w:r>
              <w:rPr>
                <w:sz w:val="18"/>
              </w:rPr>
              <w:t>26</w:t>
            </w:r>
          </w:p>
        </w:tc>
        <w:tc>
          <w:tcPr>
            <w:tcW w:w="1860" w:type="dxa"/>
            <w:tcMar>
              <w:top w:w="0" w:type="dxa"/>
              <w:bottom w:w="0" w:type="dxa"/>
            </w:tcMar>
            <w:vAlign w:val="center"/>
          </w:tcPr>
          <w:p w:rsidR="00AF38BA" w:rsidRDefault="006B7671">
            <w:pPr>
              <w:keepNext/>
              <w:keepLines/>
              <w:spacing w:after="0" w:line="240" w:lineRule="auto"/>
              <w:jc w:val="right"/>
            </w:pPr>
            <w:r>
              <w:rPr>
                <w:sz w:val="18"/>
              </w:rPr>
              <w:t>1.314.975,49</w:t>
            </w:r>
          </w:p>
        </w:tc>
        <w:tc>
          <w:tcPr>
            <w:tcW w:w="1860" w:type="dxa"/>
            <w:tcMar>
              <w:top w:w="0" w:type="dxa"/>
              <w:bottom w:w="0" w:type="dxa"/>
            </w:tcMar>
            <w:vAlign w:val="center"/>
          </w:tcPr>
          <w:p w:rsidR="00AF38BA" w:rsidRDefault="006B7671">
            <w:pPr>
              <w:keepNext/>
              <w:keepLines/>
              <w:spacing w:after="0" w:line="240" w:lineRule="auto"/>
              <w:jc w:val="right"/>
            </w:pPr>
            <w:r>
              <w:rPr>
                <w:sz w:val="18"/>
              </w:rPr>
              <w:t>2.407.338,81</w:t>
            </w:r>
          </w:p>
        </w:tc>
        <w:tc>
          <w:tcPr>
            <w:tcW w:w="700" w:type="dxa"/>
            <w:tcMar>
              <w:top w:w="0" w:type="dxa"/>
              <w:bottom w:w="0" w:type="dxa"/>
            </w:tcMar>
            <w:vAlign w:val="center"/>
          </w:tcPr>
          <w:p w:rsidR="00AF38BA" w:rsidRDefault="006B7671">
            <w:pPr>
              <w:keepNext/>
              <w:keepLines/>
              <w:spacing w:after="0" w:line="240" w:lineRule="auto"/>
              <w:jc w:val="right"/>
            </w:pPr>
            <w:r>
              <w:rPr>
                <w:sz w:val="18"/>
              </w:rPr>
              <w:t>183,1</w:t>
            </w:r>
          </w:p>
        </w:tc>
      </w:tr>
    </w:tbl>
    <w:p w:rsidR="00AF38BA" w:rsidRDefault="00AF38BA">
      <w:pPr>
        <w:spacing w:after="0"/>
      </w:pPr>
    </w:p>
    <w:p w:rsidR="00AF38BA" w:rsidRDefault="006B7671" w:rsidP="00187140">
      <w:pPr>
        <w:jc w:val="both"/>
      </w:pPr>
      <w:r>
        <w:t>Obveze Županije po osnovi primljenih kredita i zajmova na dan 31. prosinca 2025. veće su u odnosu na prethodno izvještajno razdoblje, odnosno stanje 01. siječnja 2025. godine za 83,1%.</w:t>
      </w:r>
      <w:r>
        <w:br/>
        <w:t xml:space="preserve">Naime, za realizaciju kapitalnog projekta Zdravstveni centar </w:t>
      </w:r>
      <w:proofErr w:type="spellStart"/>
      <w:r>
        <w:t>Rujevica</w:t>
      </w:r>
      <w:proofErr w:type="spellEnd"/>
      <w:r>
        <w:t xml:space="preserve"> – Zapad, Županija je 2024. godine sklopila Ugovor o dugoročnom kreditu sa Hrvatskom bankom za obnovu i razvitak (HABOR).  U izvještajnom razdoblju 2025. godine započelo je korištenje sredstava kredita te ukupno korištena sredstva kredita iznose 1.319.906,61 eura (šifra 2622).</w:t>
      </w:r>
      <w:r>
        <w:br/>
        <w:t>S druge strane, za sufinanciranje EU projekta Energetske obnove zgrada osam osnovnih škola na području Županije, 2018. godine Županija je sklopila Ugovor o dugoročnom kreditu sa Privrednom bankom Zagreb d.d. U izvještajnom razdoblju 2025. godine dospjela je i podmirena posljednja rata kredita, čime je kredit otplaćen u cijelosti (šifra 2643).</w:t>
      </w:r>
    </w:p>
    <w:p w:rsidR="00AF38BA" w:rsidRDefault="00AF38BA"/>
    <w:p w:rsidR="00AF38BA" w:rsidRDefault="006B7671">
      <w:pPr>
        <w:keepNext/>
        <w:spacing w:line="240" w:lineRule="auto"/>
        <w:jc w:val="center"/>
      </w:pPr>
      <w:r>
        <w:rPr>
          <w:sz w:val="28"/>
        </w:rPr>
        <w:lastRenderedPageBreak/>
        <w:t>Bilješka 44.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F38BA">
        <w:trPr>
          <w:cantSplit/>
        </w:trPr>
        <w:tc>
          <w:tcPr>
            <w:tcW w:w="700" w:type="dxa"/>
            <w:shd w:val="clear" w:color="auto" w:fill="E7F0F9"/>
            <w:tcMar>
              <w:top w:w="0" w:type="dxa"/>
              <w:bottom w:w="0" w:type="dxa"/>
            </w:tcMar>
            <w:vAlign w:val="center"/>
          </w:tcPr>
          <w:p w:rsidR="00AF38BA" w:rsidRDefault="006B767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AF38BA" w:rsidRDefault="006B767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F38BA" w:rsidRDefault="006B767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F38BA" w:rsidRDefault="006B7671">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AF38BA" w:rsidRDefault="006B7671">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AF38BA" w:rsidRDefault="006B7671">
            <w:pPr>
              <w:keepNext/>
              <w:keepLines/>
              <w:spacing w:after="0" w:line="240" w:lineRule="auto"/>
              <w:jc w:val="center"/>
            </w:pPr>
            <w:r>
              <w:rPr>
                <w:b/>
                <w:sz w:val="18"/>
              </w:rPr>
              <w:t>Indeks (%)</w:t>
            </w:r>
          </w:p>
        </w:tc>
      </w:tr>
      <w:tr w:rsidR="00AF38BA">
        <w:trPr>
          <w:cantSplit/>
          <w:trHeight w:val="560"/>
        </w:trPr>
        <w:tc>
          <w:tcPr>
            <w:tcW w:w="700" w:type="dxa"/>
            <w:tcMar>
              <w:top w:w="0" w:type="dxa"/>
              <w:bottom w:w="0" w:type="dxa"/>
            </w:tcMar>
            <w:vAlign w:val="center"/>
          </w:tcPr>
          <w:p w:rsidR="00AF38BA" w:rsidRDefault="006B7671">
            <w:pPr>
              <w:keepNext/>
              <w:keepLines/>
              <w:spacing w:after="0" w:line="240" w:lineRule="auto"/>
            </w:pPr>
            <w:r>
              <w:rPr>
                <w:sz w:val="18"/>
              </w:rPr>
              <w:t>27</w:t>
            </w:r>
          </w:p>
        </w:tc>
        <w:tc>
          <w:tcPr>
            <w:tcW w:w="3180" w:type="dxa"/>
            <w:tcMar>
              <w:top w:w="0" w:type="dxa"/>
              <w:bottom w:w="0" w:type="dxa"/>
            </w:tcMar>
            <w:vAlign w:val="center"/>
          </w:tcPr>
          <w:p w:rsidR="00AF38BA" w:rsidRDefault="006B7671">
            <w:pPr>
              <w:keepNext/>
              <w:keepLines/>
              <w:spacing w:after="0" w:line="240" w:lineRule="auto"/>
            </w:pPr>
            <w:r>
              <w:rPr>
                <w:sz w:val="18"/>
              </w:rPr>
              <w:t xml:space="preserve">Obveze za predujmove, depozite, </w:t>
            </w:r>
            <w:proofErr w:type="spellStart"/>
            <w:r>
              <w:rPr>
                <w:sz w:val="18"/>
              </w:rPr>
              <w:t>jamčevne</w:t>
            </w:r>
            <w:proofErr w:type="spellEnd"/>
            <w:r>
              <w:rPr>
                <w:sz w:val="18"/>
              </w:rPr>
              <w:t xml:space="preserve"> </w:t>
            </w:r>
            <w:proofErr w:type="spellStart"/>
            <w:r>
              <w:rPr>
                <w:sz w:val="18"/>
              </w:rPr>
              <w:t>pologe</w:t>
            </w:r>
            <w:proofErr w:type="spellEnd"/>
            <w:r>
              <w:rPr>
                <w:sz w:val="18"/>
              </w:rPr>
              <w:t xml:space="preserve"> i tuđe prihode</w:t>
            </w:r>
          </w:p>
        </w:tc>
        <w:tc>
          <w:tcPr>
            <w:tcW w:w="700" w:type="dxa"/>
            <w:tcMar>
              <w:top w:w="0" w:type="dxa"/>
              <w:bottom w:w="0" w:type="dxa"/>
            </w:tcMar>
            <w:vAlign w:val="center"/>
          </w:tcPr>
          <w:p w:rsidR="00AF38BA" w:rsidRDefault="006B7671">
            <w:pPr>
              <w:keepNext/>
              <w:keepLines/>
              <w:spacing w:after="0" w:line="240" w:lineRule="auto"/>
            </w:pPr>
            <w:r>
              <w:rPr>
                <w:sz w:val="18"/>
              </w:rPr>
              <w:t>27</w:t>
            </w:r>
          </w:p>
        </w:tc>
        <w:tc>
          <w:tcPr>
            <w:tcW w:w="1860" w:type="dxa"/>
            <w:tcMar>
              <w:top w:w="0" w:type="dxa"/>
              <w:bottom w:w="0" w:type="dxa"/>
            </w:tcMar>
            <w:vAlign w:val="center"/>
          </w:tcPr>
          <w:p w:rsidR="00AF38BA" w:rsidRDefault="006B7671">
            <w:pPr>
              <w:keepNext/>
              <w:keepLines/>
              <w:spacing w:after="0" w:line="240" w:lineRule="auto"/>
              <w:jc w:val="right"/>
            </w:pPr>
            <w:r>
              <w:rPr>
                <w:sz w:val="18"/>
              </w:rPr>
              <w:t>5.435.023,91</w:t>
            </w:r>
          </w:p>
        </w:tc>
        <w:tc>
          <w:tcPr>
            <w:tcW w:w="1860" w:type="dxa"/>
            <w:tcMar>
              <w:top w:w="0" w:type="dxa"/>
              <w:bottom w:w="0" w:type="dxa"/>
            </w:tcMar>
            <w:vAlign w:val="center"/>
          </w:tcPr>
          <w:p w:rsidR="00AF38BA" w:rsidRDefault="006B7671">
            <w:pPr>
              <w:keepNext/>
              <w:keepLines/>
              <w:spacing w:after="0" w:line="240" w:lineRule="auto"/>
              <w:jc w:val="right"/>
            </w:pPr>
            <w:r>
              <w:rPr>
                <w:sz w:val="18"/>
              </w:rPr>
              <w:t>6.250.067,35</w:t>
            </w:r>
          </w:p>
        </w:tc>
        <w:tc>
          <w:tcPr>
            <w:tcW w:w="700" w:type="dxa"/>
            <w:tcMar>
              <w:top w:w="0" w:type="dxa"/>
              <w:bottom w:w="0" w:type="dxa"/>
            </w:tcMar>
            <w:vAlign w:val="center"/>
          </w:tcPr>
          <w:p w:rsidR="00AF38BA" w:rsidRDefault="006B7671">
            <w:pPr>
              <w:keepNext/>
              <w:keepLines/>
              <w:spacing w:after="0" w:line="240" w:lineRule="auto"/>
              <w:jc w:val="right"/>
            </w:pPr>
            <w:r>
              <w:rPr>
                <w:sz w:val="18"/>
              </w:rPr>
              <w:t>115,0</w:t>
            </w:r>
          </w:p>
        </w:tc>
      </w:tr>
    </w:tbl>
    <w:p w:rsidR="00AF38BA" w:rsidRDefault="00AF38BA">
      <w:pPr>
        <w:spacing w:after="0"/>
      </w:pPr>
    </w:p>
    <w:p w:rsidR="00AF38BA" w:rsidRDefault="006B7671" w:rsidP="00187140">
      <w:pPr>
        <w:jc w:val="both"/>
      </w:pPr>
      <w:r>
        <w:t>Najveći udio u predmetnim obvezama Županije imaju nedospjele obveze za deponirana sredstva za izvlaštenja u iznosu od 5.043.486,54 eura, te obveze proračuna za naplaćena sredstva proračunskih korisnika u iznosu od 919.700,14 eura.</w:t>
      </w:r>
    </w:p>
    <w:p w:rsidR="00AF38BA" w:rsidRDefault="00AF38BA"/>
    <w:p w:rsidR="00AF38BA" w:rsidRDefault="006B7671">
      <w:pPr>
        <w:keepNext/>
        <w:spacing w:line="240" w:lineRule="auto"/>
        <w:jc w:val="center"/>
      </w:pPr>
      <w:r>
        <w:rPr>
          <w:sz w:val="28"/>
        </w:rPr>
        <w:t>Bilješka 45.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F38BA">
        <w:trPr>
          <w:cantSplit/>
        </w:trPr>
        <w:tc>
          <w:tcPr>
            <w:tcW w:w="700" w:type="dxa"/>
            <w:shd w:val="clear" w:color="auto" w:fill="E7F0F9"/>
            <w:tcMar>
              <w:top w:w="0" w:type="dxa"/>
              <w:bottom w:w="0" w:type="dxa"/>
            </w:tcMar>
            <w:vAlign w:val="center"/>
          </w:tcPr>
          <w:p w:rsidR="00AF38BA" w:rsidRDefault="006B767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AF38BA" w:rsidRDefault="006B767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F38BA" w:rsidRDefault="006B767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F38BA" w:rsidRDefault="006B7671">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AF38BA" w:rsidRDefault="006B7671">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AF38BA" w:rsidRDefault="006B7671">
            <w:pPr>
              <w:keepNext/>
              <w:keepLines/>
              <w:spacing w:after="0" w:line="240" w:lineRule="auto"/>
              <w:jc w:val="center"/>
            </w:pPr>
            <w:r>
              <w:rPr>
                <w:b/>
                <w:sz w:val="18"/>
              </w:rPr>
              <w:t>Indeks (%)</w:t>
            </w:r>
          </w:p>
        </w:tc>
      </w:tr>
      <w:tr w:rsidR="00AF38BA">
        <w:trPr>
          <w:cantSplit/>
          <w:trHeight w:val="560"/>
        </w:trPr>
        <w:tc>
          <w:tcPr>
            <w:tcW w:w="700" w:type="dxa"/>
            <w:tcMar>
              <w:top w:w="0" w:type="dxa"/>
              <w:bottom w:w="0" w:type="dxa"/>
            </w:tcMar>
            <w:vAlign w:val="center"/>
          </w:tcPr>
          <w:p w:rsidR="00AF38BA" w:rsidRDefault="006B7671">
            <w:pPr>
              <w:keepNext/>
              <w:keepLines/>
              <w:spacing w:after="0" w:line="240" w:lineRule="auto"/>
            </w:pPr>
            <w:r>
              <w:rPr>
                <w:sz w:val="18"/>
              </w:rPr>
              <w:t>922</w:t>
            </w:r>
          </w:p>
        </w:tc>
        <w:tc>
          <w:tcPr>
            <w:tcW w:w="3180" w:type="dxa"/>
            <w:tcMar>
              <w:top w:w="0" w:type="dxa"/>
              <w:bottom w:w="0" w:type="dxa"/>
            </w:tcMar>
            <w:vAlign w:val="center"/>
          </w:tcPr>
          <w:p w:rsidR="00AF38BA" w:rsidRDefault="006B7671">
            <w:pPr>
              <w:keepNext/>
              <w:keepLines/>
              <w:spacing w:after="0" w:line="240" w:lineRule="auto"/>
            </w:pPr>
            <w:r>
              <w:rPr>
                <w:sz w:val="18"/>
              </w:rPr>
              <w:t>Rezultat - višak/manjak (šifre 9221-9222)</w:t>
            </w:r>
          </w:p>
        </w:tc>
        <w:tc>
          <w:tcPr>
            <w:tcW w:w="700" w:type="dxa"/>
            <w:tcMar>
              <w:top w:w="0" w:type="dxa"/>
              <w:bottom w:w="0" w:type="dxa"/>
            </w:tcMar>
            <w:vAlign w:val="center"/>
          </w:tcPr>
          <w:p w:rsidR="00AF38BA" w:rsidRDefault="006B7671">
            <w:pPr>
              <w:keepNext/>
              <w:keepLines/>
              <w:spacing w:after="0" w:line="240" w:lineRule="auto"/>
            </w:pPr>
            <w:r>
              <w:rPr>
                <w:sz w:val="18"/>
              </w:rPr>
              <w:t>922</w:t>
            </w:r>
          </w:p>
        </w:tc>
        <w:tc>
          <w:tcPr>
            <w:tcW w:w="1860" w:type="dxa"/>
            <w:tcMar>
              <w:top w:w="0" w:type="dxa"/>
              <w:bottom w:w="0" w:type="dxa"/>
            </w:tcMar>
            <w:vAlign w:val="center"/>
          </w:tcPr>
          <w:p w:rsidR="00AF38BA" w:rsidRDefault="006B7671">
            <w:pPr>
              <w:keepNext/>
              <w:keepLines/>
              <w:spacing w:after="0" w:line="240" w:lineRule="auto"/>
              <w:jc w:val="right"/>
            </w:pPr>
            <w:r>
              <w:rPr>
                <w:sz w:val="18"/>
              </w:rPr>
              <w:t>21.562.827,90</w:t>
            </w:r>
          </w:p>
        </w:tc>
        <w:tc>
          <w:tcPr>
            <w:tcW w:w="1860" w:type="dxa"/>
            <w:tcMar>
              <w:top w:w="0" w:type="dxa"/>
              <w:bottom w:w="0" w:type="dxa"/>
            </w:tcMar>
            <w:vAlign w:val="center"/>
          </w:tcPr>
          <w:p w:rsidR="00AF38BA" w:rsidRDefault="006B7671">
            <w:pPr>
              <w:keepNext/>
              <w:keepLines/>
              <w:spacing w:after="0" w:line="240" w:lineRule="auto"/>
              <w:jc w:val="right"/>
            </w:pPr>
            <w:r>
              <w:rPr>
                <w:sz w:val="18"/>
              </w:rPr>
              <w:t>22.891.178,26</w:t>
            </w:r>
          </w:p>
        </w:tc>
        <w:tc>
          <w:tcPr>
            <w:tcW w:w="700" w:type="dxa"/>
            <w:tcMar>
              <w:top w:w="0" w:type="dxa"/>
              <w:bottom w:w="0" w:type="dxa"/>
            </w:tcMar>
            <w:vAlign w:val="center"/>
          </w:tcPr>
          <w:p w:rsidR="00AF38BA" w:rsidRDefault="006B7671">
            <w:pPr>
              <w:keepNext/>
              <w:keepLines/>
              <w:spacing w:after="0" w:line="240" w:lineRule="auto"/>
              <w:jc w:val="right"/>
            </w:pPr>
            <w:r>
              <w:rPr>
                <w:sz w:val="18"/>
              </w:rPr>
              <w:t>106,2</w:t>
            </w:r>
          </w:p>
        </w:tc>
      </w:tr>
    </w:tbl>
    <w:p w:rsidR="00AF38BA" w:rsidRDefault="00AF38BA">
      <w:pPr>
        <w:spacing w:after="0"/>
      </w:pPr>
    </w:p>
    <w:p w:rsidR="00AF38BA" w:rsidRDefault="006B7671" w:rsidP="00187140">
      <w:pPr>
        <w:jc w:val="both"/>
      </w:pPr>
      <w:r>
        <w:t>Preneseni rezultat prethodnog razdoblja Primorsko-goranske županije u iznosu od ukupno 21.562.827,90 eura korigiran je u skladu sa Odlukom Županijske skupštine o raspodjeli rezultata Primorsko-goranske županije za 2025. godinu („Službene novine“, broj 36/25), te za terećenja u korist i na teret rezultata tijekom 2025. godine u iznosu od ukupno 138.211,47 eura. Rezultat tekuće 2025. godine iznosi 1.190.138,89 eura, što čini ukupan višak prihoda raspoloživ u sljedećem razdoblju u iznosu od 22.891.178,26 eura.</w:t>
      </w:r>
    </w:p>
    <w:p w:rsidR="00AF38BA" w:rsidRDefault="006B7671" w:rsidP="00187140">
      <w:pPr>
        <w:jc w:val="both"/>
      </w:pPr>
      <w:r>
        <w:t> </w:t>
      </w:r>
    </w:p>
    <w:p w:rsidR="00AF38BA" w:rsidRDefault="006B7671" w:rsidP="00187140">
      <w:pPr>
        <w:jc w:val="both"/>
      </w:pPr>
      <w:r>
        <w:t>Podaci u obrascu Bilanca iskazani su nakon provedene obvezne korekcije rezultata propisane člankom 215. Pravilnika o proračunskom računovodstvu i računskom planu („Narodne novine“, broj 158/23 i 154/24). </w:t>
      </w:r>
    </w:p>
    <w:p w:rsidR="00187140" w:rsidRDefault="006B7671" w:rsidP="00187140">
      <w:pPr>
        <w:jc w:val="both"/>
      </w:pPr>
      <w:r>
        <w:br/>
        <w:t>Obvezna korekcija rezultata Županije provedena je za iznose kapitalnih prijenosa sredstava ostvarenih tijekom 2025. godine koji su utrošeni za nabavu nefinancijske imovine u iznosu od ukupno 1.462.976,57 eura, a evidentirana je zaduženjem računa viška prihoda poslovanja te odobrenjem računa manjka prihoda od nefinancijske imovine, kako slijedi:</w:t>
      </w:r>
      <w:r>
        <w:br/>
        <w:t>-    kapitalna pomoć iz državnog proračuna (račun 63321) u iznosu od 55.000,00 eura za projekt uređenja županijskog arhiva u Čabru, koja je utrošena za rashode za nabavu nefinancijske imovine iz razreda 4;</w:t>
      </w:r>
    </w:p>
    <w:p w:rsidR="00187140" w:rsidRDefault="006B7671" w:rsidP="00187140">
      <w:pPr>
        <w:jc w:val="both"/>
      </w:pPr>
      <w:r>
        <w:t xml:space="preserve">-    kapitalna pomoć Općine </w:t>
      </w:r>
      <w:proofErr w:type="spellStart"/>
      <w:r>
        <w:t>Dobrinj</w:t>
      </w:r>
      <w:proofErr w:type="spellEnd"/>
      <w:r>
        <w:t xml:space="preserve"> (račun 63324) u iznosu od 704.245,78 eura za projekt dogradnje OŠ Omišalj-PŠ </w:t>
      </w:r>
      <w:proofErr w:type="spellStart"/>
      <w:r>
        <w:t>Dobrinj</w:t>
      </w:r>
      <w:proofErr w:type="spellEnd"/>
      <w:r>
        <w:t>, koja je utrošena za rashode za nabavu nefinancijske imovine iz razreda 4;</w:t>
      </w:r>
    </w:p>
    <w:p w:rsidR="00187140" w:rsidRDefault="006B7671" w:rsidP="00187140">
      <w:pPr>
        <w:jc w:val="both"/>
      </w:pPr>
      <w:r>
        <w:t>-    kapitalna pomoć iz državnog proračuna temeljem prijenosa EU sredstava (račun 63821) u iznosu od 87.100,00 eura za projekt izgradnje PŠ u Marinićima, koja je utrošena za rashode za nabavu nefinancijske imovine iz razreda 4;</w:t>
      </w:r>
    </w:p>
    <w:p w:rsidR="00AF38BA" w:rsidRDefault="006B7671" w:rsidP="00187140">
      <w:pPr>
        <w:jc w:val="both"/>
      </w:pPr>
      <w:r>
        <w:lastRenderedPageBreak/>
        <w:t>-    kapitalne pomoći izravnanja za decentralizirane funkcije (račun 6352) u iznosu od ukupno 616.630,79 eura, a koje su utrošene za rashode za nabavu nefinancijske imovine iz razreda 4. </w:t>
      </w:r>
    </w:p>
    <w:p w:rsidR="00187140" w:rsidRDefault="006B7671" w:rsidP="00187140">
      <w:pPr>
        <w:jc w:val="both"/>
      </w:pPr>
      <w:r>
        <w:br/>
        <w:t>Također, provedena je obvezna korekcija rezultata Županije za iznose prihoda od nefinancijske imovine ostvarenih tijekom 2025. godine koji su utrošeni za financiranje rashoda poslovanja, a koji pripadaju kategoriji kapitalnih rashoda sukladno odredbama Zakona o proračunu koji definira kapitalne rashode, kako slijedi:</w:t>
      </w:r>
    </w:p>
    <w:p w:rsidR="00AF38BA" w:rsidRDefault="006B7671" w:rsidP="00187140">
      <w:pPr>
        <w:jc w:val="both"/>
      </w:pPr>
      <w:r>
        <w:t>-    prihod od nefinancijske imovine (račun 72311) u iznosu od 4.073,33 eura, koji je evidentiran za kapitalnu pomoć trgovačkom društvu u kojem Županija ima odlučujući utjecaj na upravljanje. </w:t>
      </w:r>
    </w:p>
    <w:p w:rsidR="00AF38BA" w:rsidRDefault="00AF38BA"/>
    <w:p w:rsidR="00AF38BA" w:rsidRDefault="006B7671">
      <w:pPr>
        <w:keepNext/>
        <w:spacing w:line="240" w:lineRule="auto"/>
        <w:jc w:val="center"/>
      </w:pPr>
      <w:r>
        <w:rPr>
          <w:sz w:val="28"/>
        </w:rPr>
        <w:t>Bilješka 46.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F38BA">
        <w:trPr>
          <w:cantSplit/>
        </w:trPr>
        <w:tc>
          <w:tcPr>
            <w:tcW w:w="700" w:type="dxa"/>
            <w:shd w:val="clear" w:color="auto" w:fill="E7F0F9"/>
            <w:tcMar>
              <w:top w:w="0" w:type="dxa"/>
              <w:bottom w:w="0" w:type="dxa"/>
            </w:tcMar>
            <w:vAlign w:val="center"/>
          </w:tcPr>
          <w:p w:rsidR="00AF38BA" w:rsidRDefault="006B767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AF38BA" w:rsidRDefault="006B767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F38BA" w:rsidRDefault="006B767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F38BA" w:rsidRDefault="006B7671">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AF38BA" w:rsidRDefault="006B7671">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AF38BA" w:rsidRDefault="006B7671">
            <w:pPr>
              <w:keepNext/>
              <w:keepLines/>
              <w:spacing w:after="0" w:line="240" w:lineRule="auto"/>
              <w:jc w:val="center"/>
            </w:pPr>
            <w:r>
              <w:rPr>
                <w:b/>
                <w:sz w:val="18"/>
              </w:rPr>
              <w:t>Indeks (%)</w:t>
            </w:r>
          </w:p>
        </w:tc>
      </w:tr>
      <w:tr w:rsidR="00AF38BA">
        <w:trPr>
          <w:cantSplit/>
          <w:trHeight w:val="560"/>
        </w:trPr>
        <w:tc>
          <w:tcPr>
            <w:tcW w:w="700" w:type="dxa"/>
            <w:tcMar>
              <w:top w:w="0" w:type="dxa"/>
              <w:bottom w:w="0" w:type="dxa"/>
            </w:tcMar>
            <w:vAlign w:val="center"/>
          </w:tcPr>
          <w:p w:rsidR="00AF38BA" w:rsidRDefault="006B7671">
            <w:pPr>
              <w:keepNext/>
              <w:keepLines/>
              <w:spacing w:after="0" w:line="240" w:lineRule="auto"/>
            </w:pPr>
            <w:r>
              <w:rPr>
                <w:sz w:val="18"/>
              </w:rPr>
              <w:t>991</w:t>
            </w:r>
          </w:p>
        </w:tc>
        <w:tc>
          <w:tcPr>
            <w:tcW w:w="3180" w:type="dxa"/>
            <w:tcMar>
              <w:top w:w="0" w:type="dxa"/>
              <w:bottom w:w="0" w:type="dxa"/>
            </w:tcMar>
            <w:vAlign w:val="center"/>
          </w:tcPr>
          <w:p w:rsidR="00AF38BA" w:rsidRDefault="006B7671">
            <w:pPr>
              <w:keepNext/>
              <w:keepLines/>
              <w:spacing w:after="0" w:line="240" w:lineRule="auto"/>
            </w:pPr>
            <w:proofErr w:type="spellStart"/>
            <w:r>
              <w:rPr>
                <w:sz w:val="18"/>
              </w:rPr>
              <w:t>Izvanbilančni</w:t>
            </w:r>
            <w:proofErr w:type="spellEnd"/>
            <w:r>
              <w:rPr>
                <w:sz w:val="18"/>
              </w:rPr>
              <w:t xml:space="preserve"> zapisi - aktiva (šifra 996)</w:t>
            </w:r>
          </w:p>
        </w:tc>
        <w:tc>
          <w:tcPr>
            <w:tcW w:w="700" w:type="dxa"/>
            <w:tcMar>
              <w:top w:w="0" w:type="dxa"/>
              <w:bottom w:w="0" w:type="dxa"/>
            </w:tcMar>
            <w:vAlign w:val="center"/>
          </w:tcPr>
          <w:p w:rsidR="00AF38BA" w:rsidRDefault="006B7671">
            <w:pPr>
              <w:keepNext/>
              <w:keepLines/>
              <w:spacing w:after="0" w:line="240" w:lineRule="auto"/>
            </w:pPr>
            <w:r>
              <w:rPr>
                <w:sz w:val="18"/>
              </w:rPr>
              <w:t>991</w:t>
            </w:r>
          </w:p>
        </w:tc>
        <w:tc>
          <w:tcPr>
            <w:tcW w:w="1860" w:type="dxa"/>
            <w:tcMar>
              <w:top w:w="0" w:type="dxa"/>
              <w:bottom w:w="0" w:type="dxa"/>
            </w:tcMar>
            <w:vAlign w:val="center"/>
          </w:tcPr>
          <w:p w:rsidR="00AF38BA" w:rsidRDefault="006B7671">
            <w:pPr>
              <w:keepNext/>
              <w:keepLines/>
              <w:spacing w:after="0" w:line="240" w:lineRule="auto"/>
              <w:jc w:val="right"/>
            </w:pPr>
            <w:r>
              <w:rPr>
                <w:sz w:val="18"/>
              </w:rPr>
              <w:t>37.718.299,89</w:t>
            </w:r>
          </w:p>
        </w:tc>
        <w:tc>
          <w:tcPr>
            <w:tcW w:w="1860" w:type="dxa"/>
            <w:tcMar>
              <w:top w:w="0" w:type="dxa"/>
              <w:bottom w:w="0" w:type="dxa"/>
            </w:tcMar>
            <w:vAlign w:val="center"/>
          </w:tcPr>
          <w:p w:rsidR="00AF38BA" w:rsidRDefault="006B7671">
            <w:pPr>
              <w:keepNext/>
              <w:keepLines/>
              <w:spacing w:after="0" w:line="240" w:lineRule="auto"/>
              <w:jc w:val="right"/>
            </w:pPr>
            <w:r>
              <w:rPr>
                <w:sz w:val="18"/>
              </w:rPr>
              <w:t>117.260.392,92</w:t>
            </w:r>
          </w:p>
        </w:tc>
        <w:tc>
          <w:tcPr>
            <w:tcW w:w="700" w:type="dxa"/>
            <w:tcMar>
              <w:top w:w="0" w:type="dxa"/>
              <w:bottom w:w="0" w:type="dxa"/>
            </w:tcMar>
            <w:vAlign w:val="center"/>
          </w:tcPr>
          <w:p w:rsidR="00AF38BA" w:rsidRDefault="006B7671">
            <w:pPr>
              <w:keepNext/>
              <w:keepLines/>
              <w:spacing w:after="0" w:line="240" w:lineRule="auto"/>
              <w:jc w:val="right"/>
            </w:pPr>
            <w:r>
              <w:rPr>
                <w:sz w:val="18"/>
              </w:rPr>
              <w:t>310,9</w:t>
            </w:r>
          </w:p>
        </w:tc>
      </w:tr>
    </w:tbl>
    <w:p w:rsidR="00AF38BA" w:rsidRDefault="00AF38BA">
      <w:pPr>
        <w:spacing w:after="0"/>
      </w:pPr>
    </w:p>
    <w:p w:rsidR="00187140" w:rsidRDefault="006B7671" w:rsidP="00187140">
      <w:pPr>
        <w:jc w:val="both"/>
      </w:pPr>
      <w:r>
        <w:t xml:space="preserve">Na dan 31. prosinca 2025. godine </w:t>
      </w:r>
      <w:proofErr w:type="spellStart"/>
      <w:r>
        <w:t>izvanbilančni</w:t>
      </w:r>
      <w:proofErr w:type="spellEnd"/>
      <w:r>
        <w:t xml:space="preserve"> zapisi Primorsko-goranske županije iznose ukupno 117.260.392,92 eura i u odnosu na stanje na dan 01. siječnja povećali su se za 79.542.093,03 eura. Navedeno povećanje, u najvećoj mjeri, je rezultat promjena u računovodstvenom evidentiranju od 01. siječnja 2025. godine. </w:t>
      </w:r>
    </w:p>
    <w:p w:rsidR="00187140" w:rsidRDefault="006B7671" w:rsidP="00187140">
      <w:pPr>
        <w:jc w:val="both"/>
      </w:pPr>
      <w:r>
        <w:t xml:space="preserve">Naime, sukladno Pravilniku o korištenju sredstava Europske unije („Narodne novine“, br. 44/24) i Uputi Ministarstva financija za računovodstveno evidentiranje sredstava Europske unije, od 1. siječnja 2025. godine obvezna je </w:t>
      </w:r>
      <w:proofErr w:type="spellStart"/>
      <w:r>
        <w:t>izvanbilančna</w:t>
      </w:r>
      <w:proofErr w:type="spellEnd"/>
      <w:r>
        <w:t xml:space="preserve"> evidencija ukupno ugovorenih potraživanja temeljem potpisanih ugovora o dodjeli bespovratnih sredstava i/ili Odluka o dodjeli bespovratnih sredstava te njihove realizacije temeljem podnesenih zahtjeva za nadoknadu sredstava (ZNS). Županija na dan 31. prosinca 2025. godine u </w:t>
      </w:r>
      <w:proofErr w:type="spellStart"/>
      <w:r>
        <w:t>izvanbilančnoj</w:t>
      </w:r>
      <w:proofErr w:type="spellEnd"/>
      <w:r>
        <w:t xml:space="preserve"> evidenciji ima iskazano 13 ugovora o dodjeli bespovratnih sredstava u ukupnom iznosu od 49.081.155,14 eura.</w:t>
      </w:r>
    </w:p>
    <w:p w:rsidR="00AF38BA" w:rsidRDefault="006B7671" w:rsidP="00187140">
      <w:pPr>
        <w:jc w:val="both"/>
      </w:pPr>
      <w:r>
        <w:t xml:space="preserve">Također, sukladno Pravilniku o proračunskom računovodstvu i računskom planu („Narodne novine“, br. 158/23 i 154/24) Županija u </w:t>
      </w:r>
      <w:proofErr w:type="spellStart"/>
      <w:r>
        <w:t>izvanbilančnoj</w:t>
      </w:r>
      <w:proofErr w:type="spellEnd"/>
      <w:r>
        <w:t xml:space="preserve"> evidenciji ima evidentirane preuzete obveze po ugovorima o nabavi roba, radova i usluga (72 ugovora) u iznosu od ukupno 27.335.117,20 eura.</w:t>
      </w:r>
    </w:p>
    <w:p w:rsidR="00AF38BA" w:rsidRDefault="00AF38BA"/>
    <w:p w:rsidR="00AF38BA" w:rsidRDefault="006B7671">
      <w:pPr>
        <w:keepNext/>
        <w:spacing w:line="240" w:lineRule="auto"/>
        <w:jc w:val="center"/>
      </w:pPr>
      <w:r>
        <w:rPr>
          <w:b/>
          <w:sz w:val="28"/>
        </w:rPr>
        <w:lastRenderedPageBreak/>
        <w:t>Promjene u vrijednosti i obujmu imovine i obveza</w:t>
      </w:r>
    </w:p>
    <w:p w:rsidR="00AF38BA" w:rsidRDefault="006B7671">
      <w:pPr>
        <w:keepNext/>
        <w:spacing w:line="240" w:lineRule="auto"/>
        <w:jc w:val="center"/>
      </w:pPr>
      <w:r>
        <w:rPr>
          <w:sz w:val="28"/>
        </w:rPr>
        <w:t>Bilješka 47.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F38BA">
        <w:trPr>
          <w:cantSplit/>
        </w:trPr>
        <w:tc>
          <w:tcPr>
            <w:tcW w:w="700" w:type="dxa"/>
            <w:shd w:val="clear" w:color="auto" w:fill="E7F0F9"/>
            <w:tcMar>
              <w:top w:w="0" w:type="dxa"/>
              <w:bottom w:w="0" w:type="dxa"/>
            </w:tcMar>
            <w:vAlign w:val="center"/>
          </w:tcPr>
          <w:p w:rsidR="00AF38BA" w:rsidRDefault="006B767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AF38BA" w:rsidRDefault="006B767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F38BA" w:rsidRDefault="006B767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F38BA" w:rsidRDefault="006B7671">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rsidR="00AF38BA" w:rsidRDefault="006B7671">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rsidR="00AF38BA" w:rsidRDefault="006B7671">
            <w:pPr>
              <w:keepNext/>
              <w:keepLines/>
              <w:spacing w:after="0" w:line="240" w:lineRule="auto"/>
              <w:jc w:val="center"/>
            </w:pPr>
            <w:r>
              <w:rPr>
                <w:b/>
                <w:sz w:val="18"/>
              </w:rPr>
              <w:t>Indeks (%)</w:t>
            </w:r>
          </w:p>
        </w:tc>
      </w:tr>
      <w:tr w:rsidR="00AF38BA">
        <w:trPr>
          <w:cantSplit/>
          <w:trHeight w:val="560"/>
        </w:trPr>
        <w:tc>
          <w:tcPr>
            <w:tcW w:w="700" w:type="dxa"/>
            <w:tcMar>
              <w:top w:w="0" w:type="dxa"/>
              <w:bottom w:w="0" w:type="dxa"/>
            </w:tcMar>
            <w:vAlign w:val="center"/>
          </w:tcPr>
          <w:p w:rsidR="00AF38BA" w:rsidRDefault="00AF38BA">
            <w:pPr>
              <w:keepNext/>
              <w:keepLines/>
              <w:spacing w:after="0" w:line="240" w:lineRule="auto"/>
            </w:pPr>
          </w:p>
        </w:tc>
        <w:tc>
          <w:tcPr>
            <w:tcW w:w="3180" w:type="dxa"/>
            <w:tcMar>
              <w:top w:w="0" w:type="dxa"/>
              <w:bottom w:w="0" w:type="dxa"/>
            </w:tcMar>
            <w:vAlign w:val="center"/>
          </w:tcPr>
          <w:p w:rsidR="00AF38BA" w:rsidRDefault="006B7671">
            <w:pPr>
              <w:keepNext/>
              <w:keepLines/>
              <w:spacing w:after="0" w:line="240" w:lineRule="auto"/>
            </w:pPr>
            <w:proofErr w:type="spellStart"/>
            <w:r>
              <w:rPr>
                <w:sz w:val="18"/>
              </w:rPr>
              <w:t>Neproizvedena</w:t>
            </w:r>
            <w:proofErr w:type="spellEnd"/>
            <w:r>
              <w:rPr>
                <w:sz w:val="18"/>
              </w:rPr>
              <w:t xml:space="preserve"> dugotrajna imovina</w:t>
            </w:r>
          </w:p>
        </w:tc>
        <w:tc>
          <w:tcPr>
            <w:tcW w:w="700" w:type="dxa"/>
            <w:tcMar>
              <w:top w:w="0" w:type="dxa"/>
              <w:bottom w:w="0" w:type="dxa"/>
            </w:tcMar>
            <w:vAlign w:val="center"/>
          </w:tcPr>
          <w:p w:rsidR="00AF38BA" w:rsidRDefault="006B7671">
            <w:pPr>
              <w:keepNext/>
              <w:keepLines/>
              <w:spacing w:after="0" w:line="240" w:lineRule="auto"/>
            </w:pPr>
            <w:r>
              <w:rPr>
                <w:sz w:val="18"/>
              </w:rPr>
              <w:t>P002</w:t>
            </w:r>
          </w:p>
        </w:tc>
        <w:tc>
          <w:tcPr>
            <w:tcW w:w="1860" w:type="dxa"/>
            <w:tcMar>
              <w:top w:w="0" w:type="dxa"/>
              <w:bottom w:w="0" w:type="dxa"/>
            </w:tcMar>
            <w:vAlign w:val="center"/>
          </w:tcPr>
          <w:p w:rsidR="00AF38BA" w:rsidRDefault="006B7671">
            <w:pPr>
              <w:keepNext/>
              <w:keepLines/>
              <w:spacing w:after="0" w:line="240" w:lineRule="auto"/>
              <w:jc w:val="right"/>
            </w:pPr>
            <w:r>
              <w:rPr>
                <w:sz w:val="18"/>
              </w:rPr>
              <w:t>0,00</w:t>
            </w:r>
          </w:p>
        </w:tc>
        <w:tc>
          <w:tcPr>
            <w:tcW w:w="1860" w:type="dxa"/>
            <w:tcMar>
              <w:top w:w="0" w:type="dxa"/>
              <w:bottom w:w="0" w:type="dxa"/>
            </w:tcMar>
            <w:vAlign w:val="center"/>
          </w:tcPr>
          <w:p w:rsidR="00AF38BA" w:rsidRDefault="006B7671">
            <w:pPr>
              <w:keepNext/>
              <w:keepLines/>
              <w:spacing w:after="0" w:line="240" w:lineRule="auto"/>
              <w:jc w:val="right"/>
            </w:pPr>
            <w:r>
              <w:rPr>
                <w:sz w:val="18"/>
              </w:rPr>
              <w:t>80.289,97</w:t>
            </w:r>
          </w:p>
        </w:tc>
        <w:tc>
          <w:tcPr>
            <w:tcW w:w="700" w:type="dxa"/>
            <w:tcMar>
              <w:top w:w="0" w:type="dxa"/>
              <w:bottom w:w="0" w:type="dxa"/>
            </w:tcMar>
            <w:vAlign w:val="center"/>
          </w:tcPr>
          <w:p w:rsidR="00AF38BA" w:rsidRDefault="006B7671">
            <w:pPr>
              <w:keepNext/>
              <w:keepLines/>
              <w:spacing w:after="0" w:line="240" w:lineRule="auto"/>
              <w:jc w:val="right"/>
            </w:pPr>
            <w:r>
              <w:rPr>
                <w:sz w:val="18"/>
              </w:rPr>
              <w:t>-</w:t>
            </w:r>
          </w:p>
        </w:tc>
      </w:tr>
    </w:tbl>
    <w:p w:rsidR="00AF38BA" w:rsidRDefault="00AF38BA">
      <w:pPr>
        <w:spacing w:after="0"/>
      </w:pPr>
    </w:p>
    <w:p w:rsidR="00AF38BA" w:rsidRDefault="006B7671" w:rsidP="00187140">
      <w:pPr>
        <w:jc w:val="both"/>
      </w:pPr>
      <w:r>
        <w:t>Temeljem obavljenog popisa imovine i obveza Primorsko-goranske županije na dan 31. prosinca 2025. godine i Odluke Župana o rashodovanju sredstava, opreme i sitnog inventara te evidentiranju utvrđenog manjka rashodovana su osnovna sredstva ukupne sadašnje vrijednosti 0,77 eura (P002 –Iznos smanjenja).</w:t>
      </w:r>
    </w:p>
    <w:p w:rsidR="00AF38BA" w:rsidRDefault="006B7671" w:rsidP="00187140">
      <w:pPr>
        <w:jc w:val="both"/>
      </w:pPr>
      <w:r>
        <w:t xml:space="preserve">Također, sukladno Pravilniku o proračunskom računovodstvu i računskom planu u knjigovodstvenim evidencijama Županije proveden je ispravak vrijednosti </w:t>
      </w:r>
      <w:proofErr w:type="spellStart"/>
      <w:r>
        <w:t>neproizvedene</w:t>
      </w:r>
      <w:proofErr w:type="spellEnd"/>
      <w:r>
        <w:t xml:space="preserve"> dugotrajne imovine Županije za 2025. godinu u iznosu od ukupno 80.289,20 eura (P002 –Iznos smanjenja).</w:t>
      </w:r>
    </w:p>
    <w:p w:rsidR="00AF38BA" w:rsidRDefault="00AF38BA"/>
    <w:p w:rsidR="00AF38BA" w:rsidRDefault="006B7671">
      <w:pPr>
        <w:keepNext/>
        <w:spacing w:line="240" w:lineRule="auto"/>
        <w:jc w:val="center"/>
      </w:pPr>
      <w:r>
        <w:rPr>
          <w:sz w:val="28"/>
        </w:rPr>
        <w:t>Bilješka 48.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F38BA">
        <w:trPr>
          <w:cantSplit/>
        </w:trPr>
        <w:tc>
          <w:tcPr>
            <w:tcW w:w="700" w:type="dxa"/>
            <w:shd w:val="clear" w:color="auto" w:fill="E7F0F9"/>
            <w:tcMar>
              <w:top w:w="0" w:type="dxa"/>
              <w:bottom w:w="0" w:type="dxa"/>
            </w:tcMar>
            <w:vAlign w:val="center"/>
          </w:tcPr>
          <w:p w:rsidR="00AF38BA" w:rsidRDefault="006B767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AF38BA" w:rsidRDefault="006B767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F38BA" w:rsidRDefault="006B767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F38BA" w:rsidRDefault="006B7671">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rsidR="00AF38BA" w:rsidRDefault="006B7671">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rsidR="00AF38BA" w:rsidRDefault="006B7671">
            <w:pPr>
              <w:keepNext/>
              <w:keepLines/>
              <w:spacing w:after="0" w:line="240" w:lineRule="auto"/>
              <w:jc w:val="center"/>
            </w:pPr>
            <w:r>
              <w:rPr>
                <w:b/>
                <w:sz w:val="18"/>
              </w:rPr>
              <w:t>Indeks (%)</w:t>
            </w:r>
          </w:p>
        </w:tc>
      </w:tr>
      <w:tr w:rsidR="00AF38BA">
        <w:trPr>
          <w:cantSplit/>
          <w:trHeight w:val="560"/>
        </w:trPr>
        <w:tc>
          <w:tcPr>
            <w:tcW w:w="700" w:type="dxa"/>
            <w:tcMar>
              <w:top w:w="0" w:type="dxa"/>
              <w:bottom w:w="0" w:type="dxa"/>
            </w:tcMar>
            <w:vAlign w:val="center"/>
          </w:tcPr>
          <w:p w:rsidR="00AF38BA" w:rsidRDefault="00AF38BA">
            <w:pPr>
              <w:keepNext/>
              <w:keepLines/>
              <w:spacing w:after="0" w:line="240" w:lineRule="auto"/>
            </w:pPr>
          </w:p>
        </w:tc>
        <w:tc>
          <w:tcPr>
            <w:tcW w:w="3180" w:type="dxa"/>
            <w:tcMar>
              <w:top w:w="0" w:type="dxa"/>
              <w:bottom w:w="0" w:type="dxa"/>
            </w:tcMar>
            <w:vAlign w:val="center"/>
          </w:tcPr>
          <w:p w:rsidR="00AF38BA" w:rsidRDefault="006B7671">
            <w:pPr>
              <w:keepNext/>
              <w:keepLines/>
              <w:spacing w:after="0" w:line="240" w:lineRule="auto"/>
            </w:pPr>
            <w:r>
              <w:rPr>
                <w:sz w:val="18"/>
              </w:rPr>
              <w:t>Proizvedena dugotrajna imovina</w:t>
            </w:r>
          </w:p>
        </w:tc>
        <w:tc>
          <w:tcPr>
            <w:tcW w:w="700" w:type="dxa"/>
            <w:tcMar>
              <w:top w:w="0" w:type="dxa"/>
              <w:bottom w:w="0" w:type="dxa"/>
            </w:tcMar>
            <w:vAlign w:val="center"/>
          </w:tcPr>
          <w:p w:rsidR="00AF38BA" w:rsidRDefault="006B7671">
            <w:pPr>
              <w:keepNext/>
              <w:keepLines/>
              <w:spacing w:after="0" w:line="240" w:lineRule="auto"/>
            </w:pPr>
            <w:r>
              <w:rPr>
                <w:sz w:val="18"/>
              </w:rPr>
              <w:t>P003</w:t>
            </w:r>
          </w:p>
        </w:tc>
        <w:tc>
          <w:tcPr>
            <w:tcW w:w="1860" w:type="dxa"/>
            <w:tcMar>
              <w:top w:w="0" w:type="dxa"/>
              <w:bottom w:w="0" w:type="dxa"/>
            </w:tcMar>
            <w:vAlign w:val="center"/>
          </w:tcPr>
          <w:p w:rsidR="00AF38BA" w:rsidRDefault="006B7671">
            <w:pPr>
              <w:keepNext/>
              <w:keepLines/>
              <w:spacing w:after="0" w:line="240" w:lineRule="auto"/>
              <w:jc w:val="right"/>
            </w:pPr>
            <w:r>
              <w:rPr>
                <w:sz w:val="18"/>
              </w:rPr>
              <w:t>0,00</w:t>
            </w:r>
          </w:p>
        </w:tc>
        <w:tc>
          <w:tcPr>
            <w:tcW w:w="1860" w:type="dxa"/>
            <w:tcMar>
              <w:top w:w="0" w:type="dxa"/>
              <w:bottom w:w="0" w:type="dxa"/>
            </w:tcMar>
            <w:vAlign w:val="center"/>
          </w:tcPr>
          <w:p w:rsidR="00AF38BA" w:rsidRDefault="006B7671">
            <w:pPr>
              <w:keepNext/>
              <w:keepLines/>
              <w:spacing w:after="0" w:line="240" w:lineRule="auto"/>
              <w:jc w:val="right"/>
            </w:pPr>
            <w:r>
              <w:rPr>
                <w:sz w:val="18"/>
              </w:rPr>
              <w:t>1.632.466,53</w:t>
            </w:r>
          </w:p>
        </w:tc>
        <w:tc>
          <w:tcPr>
            <w:tcW w:w="700" w:type="dxa"/>
            <w:tcMar>
              <w:top w:w="0" w:type="dxa"/>
              <w:bottom w:w="0" w:type="dxa"/>
            </w:tcMar>
            <w:vAlign w:val="center"/>
          </w:tcPr>
          <w:p w:rsidR="00AF38BA" w:rsidRDefault="006B7671">
            <w:pPr>
              <w:keepNext/>
              <w:keepLines/>
              <w:spacing w:after="0" w:line="240" w:lineRule="auto"/>
              <w:jc w:val="right"/>
            </w:pPr>
            <w:r>
              <w:rPr>
                <w:sz w:val="18"/>
              </w:rPr>
              <w:t>-</w:t>
            </w:r>
          </w:p>
        </w:tc>
      </w:tr>
    </w:tbl>
    <w:p w:rsidR="00AF38BA" w:rsidRDefault="00AF38BA">
      <w:pPr>
        <w:spacing w:after="0"/>
      </w:pPr>
    </w:p>
    <w:p w:rsidR="00AF38BA" w:rsidRDefault="006B7671" w:rsidP="00187140">
      <w:pPr>
        <w:jc w:val="both"/>
      </w:pPr>
      <w:r>
        <w:t>Sukladno Pravilniku o proračunskom računovodstvu i računskom planu u knjigovodstvenim evidencijama Županije proveden je ispravak vrijednosti proizvedene dugotrajne imovine Županije za 2025. godinu u iznosu od ukupno 1.632.466,53 eura (P003 –Iznos smanjenja).</w:t>
      </w:r>
    </w:p>
    <w:p w:rsidR="00AF38BA" w:rsidRDefault="00AF38BA"/>
    <w:p w:rsidR="00AF38BA" w:rsidRDefault="006B7671">
      <w:pPr>
        <w:keepNext/>
        <w:spacing w:line="240" w:lineRule="auto"/>
        <w:jc w:val="center"/>
      </w:pPr>
      <w:r>
        <w:rPr>
          <w:sz w:val="28"/>
        </w:rPr>
        <w:t>Bilješka 49.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F38BA">
        <w:trPr>
          <w:cantSplit/>
        </w:trPr>
        <w:tc>
          <w:tcPr>
            <w:tcW w:w="700" w:type="dxa"/>
            <w:shd w:val="clear" w:color="auto" w:fill="E7F0F9"/>
            <w:tcMar>
              <w:top w:w="0" w:type="dxa"/>
              <w:bottom w:w="0" w:type="dxa"/>
            </w:tcMar>
            <w:vAlign w:val="center"/>
          </w:tcPr>
          <w:p w:rsidR="00AF38BA" w:rsidRDefault="006B767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AF38BA" w:rsidRDefault="006B767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F38BA" w:rsidRDefault="006B767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F38BA" w:rsidRDefault="006B7671">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rsidR="00AF38BA" w:rsidRDefault="006B7671">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rsidR="00AF38BA" w:rsidRDefault="006B7671">
            <w:pPr>
              <w:keepNext/>
              <w:keepLines/>
              <w:spacing w:after="0" w:line="240" w:lineRule="auto"/>
              <w:jc w:val="center"/>
            </w:pPr>
            <w:r>
              <w:rPr>
                <w:b/>
                <w:sz w:val="18"/>
              </w:rPr>
              <w:t>Indeks (%)</w:t>
            </w:r>
          </w:p>
        </w:tc>
      </w:tr>
      <w:tr w:rsidR="00AF38BA">
        <w:trPr>
          <w:cantSplit/>
          <w:trHeight w:val="560"/>
        </w:trPr>
        <w:tc>
          <w:tcPr>
            <w:tcW w:w="700" w:type="dxa"/>
            <w:tcMar>
              <w:top w:w="0" w:type="dxa"/>
              <w:bottom w:w="0" w:type="dxa"/>
            </w:tcMar>
            <w:vAlign w:val="center"/>
          </w:tcPr>
          <w:p w:rsidR="00AF38BA" w:rsidRDefault="00AF38BA">
            <w:pPr>
              <w:keepNext/>
              <w:keepLines/>
              <w:spacing w:after="0" w:line="240" w:lineRule="auto"/>
            </w:pPr>
          </w:p>
        </w:tc>
        <w:tc>
          <w:tcPr>
            <w:tcW w:w="3180" w:type="dxa"/>
            <w:tcMar>
              <w:top w:w="0" w:type="dxa"/>
              <w:bottom w:w="0" w:type="dxa"/>
            </w:tcMar>
            <w:vAlign w:val="center"/>
          </w:tcPr>
          <w:p w:rsidR="00AF38BA" w:rsidRDefault="006B7671">
            <w:pPr>
              <w:keepNext/>
              <w:keepLines/>
              <w:spacing w:after="0" w:line="240" w:lineRule="auto"/>
            </w:pPr>
            <w:r>
              <w:rPr>
                <w:sz w:val="18"/>
              </w:rPr>
              <w:t>Financijski instrumenti - dionice i udjeli u glavnici</w:t>
            </w:r>
          </w:p>
        </w:tc>
        <w:tc>
          <w:tcPr>
            <w:tcW w:w="700" w:type="dxa"/>
            <w:tcMar>
              <w:top w:w="0" w:type="dxa"/>
              <w:bottom w:w="0" w:type="dxa"/>
            </w:tcMar>
            <w:vAlign w:val="center"/>
          </w:tcPr>
          <w:p w:rsidR="00AF38BA" w:rsidRDefault="006B7671">
            <w:pPr>
              <w:keepNext/>
              <w:keepLines/>
              <w:spacing w:after="0" w:line="240" w:lineRule="auto"/>
            </w:pPr>
            <w:r>
              <w:rPr>
                <w:sz w:val="18"/>
              </w:rPr>
              <w:t>P013</w:t>
            </w:r>
          </w:p>
        </w:tc>
        <w:tc>
          <w:tcPr>
            <w:tcW w:w="1860" w:type="dxa"/>
            <w:tcMar>
              <w:top w:w="0" w:type="dxa"/>
              <w:bottom w:w="0" w:type="dxa"/>
            </w:tcMar>
            <w:vAlign w:val="center"/>
          </w:tcPr>
          <w:p w:rsidR="00AF38BA" w:rsidRDefault="006B7671">
            <w:pPr>
              <w:keepNext/>
              <w:keepLines/>
              <w:spacing w:after="0" w:line="240" w:lineRule="auto"/>
              <w:jc w:val="right"/>
            </w:pPr>
            <w:r>
              <w:rPr>
                <w:sz w:val="18"/>
              </w:rPr>
              <w:t>0,00</w:t>
            </w:r>
          </w:p>
        </w:tc>
        <w:tc>
          <w:tcPr>
            <w:tcW w:w="1860" w:type="dxa"/>
            <w:tcMar>
              <w:top w:w="0" w:type="dxa"/>
              <w:bottom w:w="0" w:type="dxa"/>
            </w:tcMar>
            <w:vAlign w:val="center"/>
          </w:tcPr>
          <w:p w:rsidR="00AF38BA" w:rsidRDefault="006B7671">
            <w:pPr>
              <w:keepNext/>
              <w:keepLines/>
              <w:spacing w:after="0" w:line="240" w:lineRule="auto"/>
              <w:jc w:val="right"/>
            </w:pPr>
            <w:r>
              <w:rPr>
                <w:sz w:val="18"/>
              </w:rPr>
              <w:t>15.371,96</w:t>
            </w:r>
          </w:p>
        </w:tc>
        <w:tc>
          <w:tcPr>
            <w:tcW w:w="700" w:type="dxa"/>
            <w:tcMar>
              <w:top w:w="0" w:type="dxa"/>
              <w:bottom w:w="0" w:type="dxa"/>
            </w:tcMar>
            <w:vAlign w:val="center"/>
          </w:tcPr>
          <w:p w:rsidR="00AF38BA" w:rsidRDefault="006B7671">
            <w:pPr>
              <w:keepNext/>
              <w:keepLines/>
              <w:spacing w:after="0" w:line="240" w:lineRule="auto"/>
              <w:jc w:val="right"/>
            </w:pPr>
            <w:r>
              <w:rPr>
                <w:sz w:val="18"/>
              </w:rPr>
              <w:t>-</w:t>
            </w:r>
          </w:p>
        </w:tc>
      </w:tr>
    </w:tbl>
    <w:p w:rsidR="00AF38BA" w:rsidRDefault="00AF38BA">
      <w:pPr>
        <w:spacing w:after="0"/>
      </w:pPr>
    </w:p>
    <w:p w:rsidR="00AF38BA" w:rsidRDefault="006B7671" w:rsidP="00187140">
      <w:pPr>
        <w:jc w:val="both"/>
      </w:pPr>
      <w:r>
        <w:t>Rješenjem Trgovačkog suda u Zagrebu, Stalna služba u Karlovcu, St-2464/2022-163 zaključen je stečajni postupak nad dužnikom MAGMA d.d. u stečaju sa danom 17. siječnja 2025.g., te je po pravomoćnosti navedenog Rješenja provedeno brisanje društva MAGMA d.d. u stečaju iz sudskog registra. Također, Središnje klirinško depozitarno društvo Zagreb, dostavilo je Županiji Obavijest o stanju i promjenama na računu za travanj 2025.g. u kojoj je iskazano povlačenje vrijednosnica društva MAGMA d.d. u stečaju.</w:t>
      </w:r>
      <w:r w:rsidR="00187140">
        <w:t xml:space="preserve"> </w:t>
      </w:r>
      <w:r>
        <w:t xml:space="preserve">Slijedom navedenog, u knjigovodstvenim evidencijama Županije provedeno je </w:t>
      </w:r>
      <w:proofErr w:type="spellStart"/>
      <w:r>
        <w:t>isknjiženje</w:t>
      </w:r>
      <w:proofErr w:type="spellEnd"/>
      <w:r>
        <w:t xml:space="preserve"> udjela Primorsko-goranske županije u temeljnom kapitalu društva MAGMA d.d. u stečaju u iznosu od 15.371,96 eura (P013 –Iznos smanjenja).</w:t>
      </w:r>
    </w:p>
    <w:p w:rsidR="00AF38BA" w:rsidRDefault="006B7671">
      <w:pPr>
        <w:keepNext/>
        <w:spacing w:line="240" w:lineRule="auto"/>
        <w:jc w:val="center"/>
      </w:pPr>
      <w:r>
        <w:rPr>
          <w:sz w:val="28"/>
        </w:rPr>
        <w:lastRenderedPageBreak/>
        <w:t>Bilješka 50.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F38BA">
        <w:trPr>
          <w:cantSplit/>
        </w:trPr>
        <w:tc>
          <w:tcPr>
            <w:tcW w:w="700" w:type="dxa"/>
            <w:shd w:val="clear" w:color="auto" w:fill="E7F0F9"/>
            <w:tcMar>
              <w:top w:w="0" w:type="dxa"/>
              <w:bottom w:w="0" w:type="dxa"/>
            </w:tcMar>
            <w:vAlign w:val="center"/>
          </w:tcPr>
          <w:p w:rsidR="00AF38BA" w:rsidRDefault="006B767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AF38BA" w:rsidRDefault="006B767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F38BA" w:rsidRDefault="006B767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F38BA" w:rsidRDefault="006B7671">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rsidR="00AF38BA" w:rsidRDefault="006B7671">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rsidR="00AF38BA" w:rsidRDefault="006B7671">
            <w:pPr>
              <w:keepNext/>
              <w:keepLines/>
              <w:spacing w:after="0" w:line="240" w:lineRule="auto"/>
              <w:jc w:val="center"/>
            </w:pPr>
            <w:r>
              <w:rPr>
                <w:b/>
                <w:sz w:val="18"/>
              </w:rPr>
              <w:t>Indeks (%)</w:t>
            </w:r>
          </w:p>
        </w:tc>
      </w:tr>
      <w:tr w:rsidR="00AF38BA">
        <w:trPr>
          <w:cantSplit/>
          <w:trHeight w:val="560"/>
        </w:trPr>
        <w:tc>
          <w:tcPr>
            <w:tcW w:w="700" w:type="dxa"/>
            <w:tcMar>
              <w:top w:w="0" w:type="dxa"/>
              <w:bottom w:w="0" w:type="dxa"/>
            </w:tcMar>
            <w:vAlign w:val="center"/>
          </w:tcPr>
          <w:p w:rsidR="00AF38BA" w:rsidRDefault="00AF38BA">
            <w:pPr>
              <w:keepNext/>
              <w:keepLines/>
              <w:spacing w:after="0" w:line="240" w:lineRule="auto"/>
            </w:pPr>
          </w:p>
        </w:tc>
        <w:tc>
          <w:tcPr>
            <w:tcW w:w="3180" w:type="dxa"/>
            <w:tcMar>
              <w:top w:w="0" w:type="dxa"/>
              <w:bottom w:w="0" w:type="dxa"/>
            </w:tcMar>
            <w:vAlign w:val="center"/>
          </w:tcPr>
          <w:p w:rsidR="00AF38BA" w:rsidRDefault="006B7671">
            <w:pPr>
              <w:keepNext/>
              <w:keepLines/>
              <w:spacing w:after="0" w:line="240" w:lineRule="auto"/>
            </w:pPr>
            <w:r>
              <w:rPr>
                <w:sz w:val="18"/>
              </w:rPr>
              <w:t>Proizvedena dugotrajna imovina</w:t>
            </w:r>
          </w:p>
        </w:tc>
        <w:tc>
          <w:tcPr>
            <w:tcW w:w="700" w:type="dxa"/>
            <w:tcMar>
              <w:top w:w="0" w:type="dxa"/>
              <w:bottom w:w="0" w:type="dxa"/>
            </w:tcMar>
            <w:vAlign w:val="center"/>
          </w:tcPr>
          <w:p w:rsidR="00AF38BA" w:rsidRDefault="006B7671">
            <w:pPr>
              <w:keepNext/>
              <w:keepLines/>
              <w:spacing w:after="0" w:line="240" w:lineRule="auto"/>
            </w:pPr>
            <w:r>
              <w:rPr>
                <w:sz w:val="18"/>
              </w:rPr>
              <w:t>P018</w:t>
            </w:r>
          </w:p>
        </w:tc>
        <w:tc>
          <w:tcPr>
            <w:tcW w:w="1860" w:type="dxa"/>
            <w:tcMar>
              <w:top w:w="0" w:type="dxa"/>
              <w:bottom w:w="0" w:type="dxa"/>
            </w:tcMar>
            <w:vAlign w:val="center"/>
          </w:tcPr>
          <w:p w:rsidR="00AF38BA" w:rsidRDefault="006B7671">
            <w:pPr>
              <w:keepNext/>
              <w:keepLines/>
              <w:spacing w:after="0" w:line="240" w:lineRule="auto"/>
              <w:jc w:val="right"/>
            </w:pPr>
            <w:r>
              <w:rPr>
                <w:sz w:val="18"/>
              </w:rPr>
              <w:t>5.322.998,34</w:t>
            </w:r>
          </w:p>
        </w:tc>
        <w:tc>
          <w:tcPr>
            <w:tcW w:w="1860" w:type="dxa"/>
            <w:tcMar>
              <w:top w:w="0" w:type="dxa"/>
              <w:bottom w:w="0" w:type="dxa"/>
            </w:tcMar>
            <w:vAlign w:val="center"/>
          </w:tcPr>
          <w:p w:rsidR="00AF38BA" w:rsidRDefault="006B7671">
            <w:pPr>
              <w:keepNext/>
              <w:keepLines/>
              <w:spacing w:after="0" w:line="240" w:lineRule="auto"/>
              <w:jc w:val="right"/>
            </w:pPr>
            <w:r>
              <w:rPr>
                <w:sz w:val="18"/>
              </w:rPr>
              <w:t>94.513,03</w:t>
            </w:r>
          </w:p>
        </w:tc>
        <w:tc>
          <w:tcPr>
            <w:tcW w:w="700" w:type="dxa"/>
            <w:tcMar>
              <w:top w:w="0" w:type="dxa"/>
              <w:bottom w:w="0" w:type="dxa"/>
            </w:tcMar>
            <w:vAlign w:val="center"/>
          </w:tcPr>
          <w:p w:rsidR="00AF38BA" w:rsidRDefault="006B7671">
            <w:pPr>
              <w:keepNext/>
              <w:keepLines/>
              <w:spacing w:after="0" w:line="240" w:lineRule="auto"/>
              <w:jc w:val="right"/>
            </w:pPr>
            <w:r>
              <w:rPr>
                <w:sz w:val="18"/>
              </w:rPr>
              <w:t>1,8</w:t>
            </w:r>
          </w:p>
        </w:tc>
      </w:tr>
    </w:tbl>
    <w:p w:rsidR="00AF38BA" w:rsidRDefault="00AF38BA">
      <w:pPr>
        <w:spacing w:after="0"/>
      </w:pPr>
    </w:p>
    <w:p w:rsidR="00AF38BA" w:rsidRDefault="006B7671">
      <w:r>
        <w:rPr>
          <w:b/>
        </w:rPr>
        <w:t>P018 Proizvedena dugotrajna imovina -Iznos povećanja</w:t>
      </w:r>
    </w:p>
    <w:p w:rsidR="00AF38BA" w:rsidRDefault="006B7671" w:rsidP="00187140">
      <w:pPr>
        <w:jc w:val="both"/>
      </w:pPr>
      <w:r>
        <w:t>Temeljem Upute o proceduri evidentiranja i izvještavanja o ulaganjima u objekte zdravstvenih ustanova u vlasništvu Primorsko-goranske županije, Upravni odjel za zdravstvo zatražio je, prikupio i objedinio podatke od zdravstvenih ustanova o izvršenim ulaganjima u 2025. godini. Navedeni podaci  evidentirani su u poslovnim knjigama Županije s danom 31. prosinca 2025. godine u ukupnom iznosu od 5.322.998,34 eura (P018 –Iznos povećanja), kako slijedi:</w:t>
      </w:r>
    </w:p>
    <w:p w:rsidR="00AF38BA" w:rsidRDefault="006B7671" w:rsidP="00187140">
      <w:pPr>
        <w:pStyle w:val="ListParagraph"/>
        <w:numPr>
          <w:ilvl w:val="0"/>
          <w:numId w:val="1"/>
        </w:numPr>
        <w:jc w:val="both"/>
      </w:pPr>
      <w:r>
        <w:t xml:space="preserve">Prijenos proizvedene dugotrajne imovine –ulaganje </w:t>
      </w:r>
      <w:proofErr w:type="spellStart"/>
      <w:r>
        <w:t>Thalassotherapia</w:t>
      </w:r>
      <w:proofErr w:type="spellEnd"/>
      <w:r>
        <w:t xml:space="preserve"> Crikvenica: 222.567,91 eura,</w:t>
      </w:r>
    </w:p>
    <w:p w:rsidR="00AF38BA" w:rsidRDefault="006B7671" w:rsidP="00187140">
      <w:pPr>
        <w:pStyle w:val="ListParagraph"/>
        <w:numPr>
          <w:ilvl w:val="0"/>
          <w:numId w:val="1"/>
        </w:numPr>
        <w:jc w:val="both"/>
      </w:pPr>
      <w:r>
        <w:t xml:space="preserve">Prijenos proizvedene dugotrajne imovine –ulaganje </w:t>
      </w:r>
      <w:proofErr w:type="spellStart"/>
      <w:r>
        <w:t>Insula</w:t>
      </w:r>
      <w:proofErr w:type="spellEnd"/>
      <w:r>
        <w:t xml:space="preserve"> Rab: 1.711.911,90 eura,</w:t>
      </w:r>
    </w:p>
    <w:p w:rsidR="00AF38BA" w:rsidRDefault="006B7671" w:rsidP="00187140">
      <w:pPr>
        <w:pStyle w:val="ListParagraph"/>
        <w:numPr>
          <w:ilvl w:val="0"/>
          <w:numId w:val="1"/>
        </w:numPr>
        <w:jc w:val="both"/>
      </w:pPr>
      <w:r>
        <w:t>Prijenos proizvedene dugotrajne imovine –ulaganje Lječilišta Veli Lošinj: 3.388.518,53 eura.</w:t>
      </w:r>
    </w:p>
    <w:p w:rsidR="00AF38BA" w:rsidRDefault="006B7671">
      <w:r>
        <w:t> </w:t>
      </w:r>
    </w:p>
    <w:p w:rsidR="00AF38BA" w:rsidRDefault="006B7671">
      <w:r>
        <w:rPr>
          <w:b/>
        </w:rPr>
        <w:t>P018 Proizvedena dugotrajna imovina -Iznos smanjenja</w:t>
      </w:r>
    </w:p>
    <w:p w:rsidR="00AF38BA" w:rsidRDefault="006B7671" w:rsidP="00187140">
      <w:pPr>
        <w:pStyle w:val="ListParagraph"/>
        <w:numPr>
          <w:ilvl w:val="0"/>
          <w:numId w:val="2"/>
        </w:numPr>
        <w:jc w:val="both"/>
      </w:pPr>
      <w:r>
        <w:t>Tijekom 2025. godine Primorsko-goranska županija je donirala osnovnim i srednjim školama kojima je osnivač proizvedenu dugotrajnu imovinu u iznosu od ukupno 94.221,63 eura, a čiju je nabavu provela Županija (dio P018 –Iznos smanjenja).</w:t>
      </w:r>
    </w:p>
    <w:p w:rsidR="00AF38BA" w:rsidRDefault="006B7671" w:rsidP="00187140">
      <w:pPr>
        <w:jc w:val="both"/>
      </w:pPr>
      <w:r>
        <w:t> </w:t>
      </w:r>
    </w:p>
    <w:p w:rsidR="00AF38BA" w:rsidRDefault="006B7671" w:rsidP="00187140">
      <w:pPr>
        <w:pStyle w:val="ListParagraph"/>
        <w:numPr>
          <w:ilvl w:val="0"/>
          <w:numId w:val="3"/>
        </w:numPr>
        <w:jc w:val="both"/>
      </w:pPr>
      <w:r>
        <w:t xml:space="preserve">Temeljem Odluke Župana i sklopljenog Ugovora o donaciji, Primorsko-goranska županija je donirala Osnovnoj školi </w:t>
      </w:r>
      <w:proofErr w:type="spellStart"/>
      <w:r>
        <w:t>Kozala</w:t>
      </w:r>
      <w:proofErr w:type="spellEnd"/>
      <w:r>
        <w:t xml:space="preserve"> Rijeka 20 primjeraka knjige koja je na popisu obvezne lektire u iznosu od ukupno 214,14 eura, a čiju nabavu je provela Županija (dio P018 –Iznos smanjenja).</w:t>
      </w:r>
    </w:p>
    <w:p w:rsidR="00AF38BA" w:rsidRDefault="006B7671" w:rsidP="00187140">
      <w:pPr>
        <w:jc w:val="both"/>
      </w:pPr>
      <w:r>
        <w:t> </w:t>
      </w:r>
    </w:p>
    <w:p w:rsidR="00AF38BA" w:rsidRDefault="006B7671" w:rsidP="00187140">
      <w:pPr>
        <w:pStyle w:val="ListParagraph"/>
        <w:numPr>
          <w:ilvl w:val="0"/>
          <w:numId w:val="4"/>
        </w:numPr>
        <w:jc w:val="both"/>
      </w:pPr>
      <w:r>
        <w:t>Temeljem obavljenog popisa imovine i obveza Primorsko-goranske županije na dan 31. prosinca 2025. godine i Odluke Župana o rashodovanju sredstava, opreme i sitnog inventara te evidentiranju utvrđenog manjka, iz knjigovodstvenih evidencija Županije isknjižen je popisom utvrđeni manjak proizvedene dugotrajne imovine na teret Proračuna ukupne sadašnje vrijednosti 77,26 eura (dio P018 –Iznos smanjenja).</w:t>
      </w:r>
    </w:p>
    <w:p w:rsidR="00AF38BA" w:rsidRDefault="00AF38BA"/>
    <w:p w:rsidR="00AF38BA" w:rsidRDefault="006B7671">
      <w:pPr>
        <w:keepNext/>
        <w:spacing w:line="240" w:lineRule="auto"/>
        <w:jc w:val="center"/>
      </w:pPr>
      <w:r>
        <w:rPr>
          <w:sz w:val="28"/>
        </w:rPr>
        <w:t>Bilješka 51.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F38BA">
        <w:trPr>
          <w:cantSplit/>
        </w:trPr>
        <w:tc>
          <w:tcPr>
            <w:tcW w:w="700" w:type="dxa"/>
            <w:shd w:val="clear" w:color="auto" w:fill="E7F0F9"/>
            <w:tcMar>
              <w:top w:w="0" w:type="dxa"/>
              <w:bottom w:w="0" w:type="dxa"/>
            </w:tcMar>
            <w:vAlign w:val="center"/>
          </w:tcPr>
          <w:p w:rsidR="00AF38BA" w:rsidRDefault="006B767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AF38BA" w:rsidRDefault="006B767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F38BA" w:rsidRDefault="006B767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F38BA" w:rsidRDefault="006B7671">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rsidR="00AF38BA" w:rsidRDefault="006B7671">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rsidR="00AF38BA" w:rsidRDefault="006B7671">
            <w:pPr>
              <w:keepNext/>
              <w:keepLines/>
              <w:spacing w:after="0" w:line="240" w:lineRule="auto"/>
              <w:jc w:val="center"/>
            </w:pPr>
            <w:r>
              <w:rPr>
                <w:b/>
                <w:sz w:val="18"/>
              </w:rPr>
              <w:t>Indeks (%)</w:t>
            </w:r>
          </w:p>
        </w:tc>
      </w:tr>
      <w:tr w:rsidR="00AF38BA">
        <w:trPr>
          <w:cantSplit/>
          <w:trHeight w:val="560"/>
        </w:trPr>
        <w:tc>
          <w:tcPr>
            <w:tcW w:w="700" w:type="dxa"/>
            <w:tcMar>
              <w:top w:w="0" w:type="dxa"/>
              <w:bottom w:w="0" w:type="dxa"/>
            </w:tcMar>
            <w:vAlign w:val="center"/>
          </w:tcPr>
          <w:p w:rsidR="00AF38BA" w:rsidRDefault="00AF38BA">
            <w:pPr>
              <w:keepNext/>
              <w:keepLines/>
              <w:spacing w:after="0" w:line="240" w:lineRule="auto"/>
            </w:pPr>
          </w:p>
        </w:tc>
        <w:tc>
          <w:tcPr>
            <w:tcW w:w="3180" w:type="dxa"/>
            <w:tcMar>
              <w:top w:w="0" w:type="dxa"/>
              <w:bottom w:w="0" w:type="dxa"/>
            </w:tcMar>
            <w:vAlign w:val="center"/>
          </w:tcPr>
          <w:p w:rsidR="00AF38BA" w:rsidRDefault="006B7671">
            <w:pPr>
              <w:keepNext/>
              <w:keepLines/>
              <w:spacing w:after="0" w:line="240" w:lineRule="auto"/>
            </w:pPr>
            <w:r>
              <w:rPr>
                <w:sz w:val="18"/>
              </w:rPr>
              <w:t>Dugotrajna nefinancijska imovina u pripremi</w:t>
            </w:r>
          </w:p>
        </w:tc>
        <w:tc>
          <w:tcPr>
            <w:tcW w:w="700" w:type="dxa"/>
            <w:tcMar>
              <w:top w:w="0" w:type="dxa"/>
              <w:bottom w:w="0" w:type="dxa"/>
            </w:tcMar>
            <w:vAlign w:val="center"/>
          </w:tcPr>
          <w:p w:rsidR="00AF38BA" w:rsidRDefault="006B7671">
            <w:pPr>
              <w:keepNext/>
              <w:keepLines/>
              <w:spacing w:after="0" w:line="240" w:lineRule="auto"/>
            </w:pPr>
            <w:r>
              <w:rPr>
                <w:sz w:val="18"/>
              </w:rPr>
              <w:t>P021</w:t>
            </w:r>
          </w:p>
        </w:tc>
        <w:tc>
          <w:tcPr>
            <w:tcW w:w="1860" w:type="dxa"/>
            <w:tcMar>
              <w:top w:w="0" w:type="dxa"/>
              <w:bottom w:w="0" w:type="dxa"/>
            </w:tcMar>
            <w:vAlign w:val="center"/>
          </w:tcPr>
          <w:p w:rsidR="00AF38BA" w:rsidRDefault="006B7671">
            <w:pPr>
              <w:keepNext/>
              <w:keepLines/>
              <w:spacing w:after="0" w:line="240" w:lineRule="auto"/>
              <w:jc w:val="right"/>
            </w:pPr>
            <w:r>
              <w:rPr>
                <w:sz w:val="18"/>
              </w:rPr>
              <w:t>0,00</w:t>
            </w:r>
          </w:p>
        </w:tc>
        <w:tc>
          <w:tcPr>
            <w:tcW w:w="1860" w:type="dxa"/>
            <w:tcMar>
              <w:top w:w="0" w:type="dxa"/>
              <w:bottom w:w="0" w:type="dxa"/>
            </w:tcMar>
            <w:vAlign w:val="center"/>
          </w:tcPr>
          <w:p w:rsidR="00AF38BA" w:rsidRDefault="006B7671">
            <w:pPr>
              <w:keepNext/>
              <w:keepLines/>
              <w:spacing w:after="0" w:line="240" w:lineRule="auto"/>
              <w:jc w:val="right"/>
            </w:pPr>
            <w:r>
              <w:rPr>
                <w:sz w:val="18"/>
              </w:rPr>
              <w:t>48.443,82</w:t>
            </w:r>
          </w:p>
        </w:tc>
        <w:tc>
          <w:tcPr>
            <w:tcW w:w="700" w:type="dxa"/>
            <w:tcMar>
              <w:top w:w="0" w:type="dxa"/>
              <w:bottom w:w="0" w:type="dxa"/>
            </w:tcMar>
            <w:vAlign w:val="center"/>
          </w:tcPr>
          <w:p w:rsidR="00AF38BA" w:rsidRDefault="006B7671">
            <w:pPr>
              <w:keepNext/>
              <w:keepLines/>
              <w:spacing w:after="0" w:line="240" w:lineRule="auto"/>
              <w:jc w:val="right"/>
            </w:pPr>
            <w:r>
              <w:rPr>
                <w:sz w:val="18"/>
              </w:rPr>
              <w:t>-</w:t>
            </w:r>
          </w:p>
        </w:tc>
      </w:tr>
    </w:tbl>
    <w:p w:rsidR="00AF38BA" w:rsidRDefault="00AF38BA">
      <w:pPr>
        <w:spacing w:after="0"/>
      </w:pPr>
    </w:p>
    <w:p w:rsidR="00AF38BA" w:rsidRDefault="006B7671" w:rsidP="00187140">
      <w:pPr>
        <w:jc w:val="both"/>
      </w:pPr>
      <w:r>
        <w:t xml:space="preserve">Temeljem obavljenog popisa imovine i obveza Primorsko-goranske županije na dan 31. prosinca 2025. godine i Odluke Župana o rashodovanju sredstava, opreme i sitnog inventara te </w:t>
      </w:r>
      <w:r>
        <w:lastRenderedPageBreak/>
        <w:t xml:space="preserve">evidentiranju utvrđenog manjka, iz knjigovodstvenih evidencija Županije isknjižena je dugotrajna nefinancijska imovina u pripremi –projektna dokumentacija za zgradu Dominika </w:t>
      </w:r>
      <w:proofErr w:type="spellStart"/>
      <w:r>
        <w:t>Skopinića</w:t>
      </w:r>
      <w:proofErr w:type="spellEnd"/>
      <w:r>
        <w:t xml:space="preserve"> 4, Mali Lošinj u ukupnom iznosu od 48.443,82 eura (P021 –Iznos smanjenja).</w:t>
      </w:r>
    </w:p>
    <w:p w:rsidR="00AF38BA" w:rsidRDefault="00AF38BA"/>
    <w:p w:rsidR="00AF38BA" w:rsidRDefault="006B7671">
      <w:pPr>
        <w:keepNext/>
        <w:spacing w:line="240" w:lineRule="auto"/>
        <w:jc w:val="center"/>
      </w:pPr>
      <w:r>
        <w:rPr>
          <w:b/>
          <w:sz w:val="28"/>
        </w:rPr>
        <w:t>Izvještaj o obvezama</w:t>
      </w:r>
    </w:p>
    <w:p w:rsidR="00AF38BA" w:rsidRDefault="006B7671">
      <w:pPr>
        <w:keepNext/>
        <w:spacing w:line="240" w:lineRule="auto"/>
        <w:jc w:val="center"/>
      </w:pPr>
      <w:r>
        <w:rPr>
          <w:sz w:val="28"/>
        </w:rPr>
        <w:t>Bilješka 52.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AF38BA">
        <w:trPr>
          <w:cantSplit/>
        </w:trPr>
        <w:tc>
          <w:tcPr>
            <w:tcW w:w="700" w:type="dxa"/>
            <w:shd w:val="clear" w:color="auto" w:fill="E7F0F9"/>
            <w:tcMar>
              <w:top w:w="0" w:type="dxa"/>
              <w:bottom w:w="0" w:type="dxa"/>
            </w:tcMar>
            <w:vAlign w:val="center"/>
          </w:tcPr>
          <w:p w:rsidR="00AF38BA" w:rsidRDefault="006B767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AF38BA" w:rsidRDefault="006B767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F38BA" w:rsidRDefault="006B767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F38BA" w:rsidRDefault="006B7671">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rsidR="00AF38BA" w:rsidRDefault="006B7671">
            <w:pPr>
              <w:keepNext/>
              <w:keepLines/>
              <w:spacing w:after="0" w:line="240" w:lineRule="auto"/>
              <w:jc w:val="center"/>
            </w:pPr>
            <w:r>
              <w:rPr>
                <w:b/>
                <w:sz w:val="18"/>
              </w:rPr>
              <w:t>Indeks (%)</w:t>
            </w:r>
          </w:p>
        </w:tc>
      </w:tr>
      <w:tr w:rsidR="00AF38BA">
        <w:trPr>
          <w:cantSplit/>
          <w:trHeight w:val="560"/>
        </w:trPr>
        <w:tc>
          <w:tcPr>
            <w:tcW w:w="700" w:type="dxa"/>
            <w:tcMar>
              <w:top w:w="0" w:type="dxa"/>
              <w:bottom w:w="0" w:type="dxa"/>
            </w:tcMar>
            <w:vAlign w:val="center"/>
          </w:tcPr>
          <w:p w:rsidR="00AF38BA" w:rsidRDefault="00AF38BA">
            <w:pPr>
              <w:keepNext/>
              <w:keepLines/>
              <w:spacing w:after="0" w:line="240" w:lineRule="auto"/>
            </w:pPr>
          </w:p>
        </w:tc>
        <w:tc>
          <w:tcPr>
            <w:tcW w:w="3180" w:type="dxa"/>
            <w:tcMar>
              <w:top w:w="0" w:type="dxa"/>
              <w:bottom w:w="0" w:type="dxa"/>
            </w:tcMar>
            <w:vAlign w:val="center"/>
          </w:tcPr>
          <w:p w:rsidR="00AF38BA" w:rsidRDefault="006B7671">
            <w:pPr>
              <w:keepNext/>
              <w:keepLines/>
              <w:spacing w:after="0" w:line="240" w:lineRule="auto"/>
            </w:pPr>
            <w:r>
              <w:rPr>
                <w:sz w:val="18"/>
              </w:rPr>
              <w:t>Stanje dospjelih obveza na kraju izvještajnog razdoblja (šifre V008+D23+D24 + 'D dio 25,26' + D27)</w:t>
            </w:r>
          </w:p>
        </w:tc>
        <w:tc>
          <w:tcPr>
            <w:tcW w:w="700" w:type="dxa"/>
            <w:tcMar>
              <w:top w:w="0" w:type="dxa"/>
              <w:bottom w:w="0" w:type="dxa"/>
            </w:tcMar>
            <w:vAlign w:val="center"/>
          </w:tcPr>
          <w:p w:rsidR="00AF38BA" w:rsidRDefault="006B7671">
            <w:pPr>
              <w:keepNext/>
              <w:keepLines/>
              <w:spacing w:after="0" w:line="240" w:lineRule="auto"/>
            </w:pPr>
            <w:r>
              <w:rPr>
                <w:sz w:val="18"/>
              </w:rPr>
              <w:t>V007</w:t>
            </w:r>
          </w:p>
        </w:tc>
        <w:tc>
          <w:tcPr>
            <w:tcW w:w="1860" w:type="dxa"/>
            <w:tcMar>
              <w:top w:w="0" w:type="dxa"/>
              <w:bottom w:w="0" w:type="dxa"/>
            </w:tcMar>
            <w:vAlign w:val="center"/>
          </w:tcPr>
          <w:p w:rsidR="00AF38BA" w:rsidRDefault="006B7671">
            <w:pPr>
              <w:keepNext/>
              <w:keepLines/>
              <w:spacing w:after="0" w:line="240" w:lineRule="auto"/>
              <w:jc w:val="right"/>
            </w:pPr>
            <w:r>
              <w:rPr>
                <w:sz w:val="18"/>
              </w:rPr>
              <w:t>229.196,61</w:t>
            </w:r>
          </w:p>
        </w:tc>
        <w:tc>
          <w:tcPr>
            <w:tcW w:w="700" w:type="dxa"/>
            <w:tcMar>
              <w:top w:w="0" w:type="dxa"/>
              <w:bottom w:w="0" w:type="dxa"/>
            </w:tcMar>
            <w:vAlign w:val="center"/>
          </w:tcPr>
          <w:p w:rsidR="00AF38BA" w:rsidRDefault="006B7671">
            <w:pPr>
              <w:keepNext/>
              <w:keepLines/>
              <w:spacing w:after="0" w:line="240" w:lineRule="auto"/>
              <w:jc w:val="right"/>
            </w:pPr>
            <w:r>
              <w:rPr>
                <w:sz w:val="18"/>
              </w:rPr>
              <w:t>-</w:t>
            </w:r>
          </w:p>
        </w:tc>
      </w:tr>
    </w:tbl>
    <w:p w:rsidR="00AF38BA" w:rsidRDefault="00AF38BA">
      <w:pPr>
        <w:spacing w:after="0"/>
      </w:pPr>
    </w:p>
    <w:p w:rsidR="00AF38BA" w:rsidRDefault="006B7671" w:rsidP="00187140">
      <w:pPr>
        <w:jc w:val="both"/>
      </w:pPr>
      <w:r>
        <w:t>Razlog stanja dospjelih obveza na kraju izvještajnog razdoblja (šifra V007) i prekoračenja rokova plaćanja istih je zakašnjenje u dostavi kompletne financijske dokumentacije potrebne za izvršenje isplate prema dobavljačima.</w:t>
      </w:r>
    </w:p>
    <w:p w:rsidR="00AF38BA" w:rsidRDefault="00AF38BA"/>
    <w:p w:rsidR="00AF38BA" w:rsidRDefault="006B7671" w:rsidP="00187140">
      <w:pPr>
        <w:keepNext/>
        <w:spacing w:line="240" w:lineRule="auto"/>
        <w:jc w:val="center"/>
        <w:rPr>
          <w:b/>
          <w:sz w:val="28"/>
        </w:rPr>
      </w:pPr>
      <w:r w:rsidRPr="00187140">
        <w:rPr>
          <w:b/>
          <w:sz w:val="28"/>
        </w:rPr>
        <w:t>EU izvještaj</w:t>
      </w:r>
    </w:p>
    <w:p w:rsidR="00187140" w:rsidRDefault="00187140" w:rsidP="00187140">
      <w:pPr>
        <w:keepNext/>
        <w:spacing w:line="240" w:lineRule="auto"/>
        <w:jc w:val="center"/>
      </w:pPr>
      <w:r>
        <w:rPr>
          <w:sz w:val="28"/>
        </w:rPr>
        <w:t>Bilješka 53.</w:t>
      </w:r>
    </w:p>
    <w:p w:rsidR="00AF38BA" w:rsidRDefault="006B7671" w:rsidP="00187140">
      <w:pPr>
        <w:jc w:val="both"/>
      </w:pPr>
      <w:r>
        <w:t>Izvještaj o EU sredstvima popunjen je za 14 (četrnaest) EU projekata koje je Županija provodila u izvještajnom razdoblju 2025. godine.</w:t>
      </w:r>
    </w:p>
    <w:p w:rsidR="00AF38BA" w:rsidRDefault="00AF38BA"/>
    <w:p w:rsidR="00453D99" w:rsidRPr="00593E57" w:rsidRDefault="00453D99" w:rsidP="00453D99">
      <w:pPr>
        <w:pStyle w:val="BodyText"/>
        <w:rPr>
          <w:sz w:val="24"/>
        </w:rPr>
      </w:pPr>
      <w:r w:rsidRPr="00593E57">
        <w:rPr>
          <w:sz w:val="24"/>
        </w:rPr>
        <w:t>Rijeka, 16. veljače 2026. godine.</w:t>
      </w:r>
    </w:p>
    <w:p w:rsidR="00453D99" w:rsidRDefault="00453D99" w:rsidP="00453D99">
      <w:pPr>
        <w:pStyle w:val="BodyText"/>
        <w:jc w:val="both"/>
        <w:outlineLvl w:val="0"/>
        <w:rPr>
          <w:b/>
          <w:bCs/>
          <w:color w:val="FF0000"/>
          <w:sz w:val="24"/>
        </w:rPr>
      </w:pPr>
    </w:p>
    <w:p w:rsidR="00453D99" w:rsidRPr="00593E57" w:rsidRDefault="00453D99" w:rsidP="00453D99">
      <w:pPr>
        <w:pStyle w:val="BodyText"/>
        <w:jc w:val="both"/>
        <w:outlineLvl w:val="0"/>
        <w:rPr>
          <w:b/>
          <w:bCs/>
          <w:color w:val="FF0000"/>
          <w:sz w:val="24"/>
        </w:rPr>
      </w:pPr>
    </w:p>
    <w:p w:rsidR="00453D99" w:rsidRPr="00593E57" w:rsidRDefault="00453D99" w:rsidP="00453D99">
      <w:pPr>
        <w:pStyle w:val="BodyText"/>
        <w:ind w:firstLine="708"/>
        <w:rPr>
          <w:sz w:val="24"/>
        </w:rPr>
      </w:pPr>
      <w:r w:rsidRPr="00593E57">
        <w:rPr>
          <w:sz w:val="24"/>
        </w:rPr>
        <w:t>Bilješke sastavila:</w:t>
      </w:r>
    </w:p>
    <w:p w:rsidR="00453D99" w:rsidRPr="00593E57" w:rsidRDefault="00453D99" w:rsidP="00453D99">
      <w:pPr>
        <w:pStyle w:val="BodyText"/>
        <w:rPr>
          <w:sz w:val="24"/>
        </w:rPr>
      </w:pPr>
    </w:p>
    <w:p w:rsidR="00453D99" w:rsidRPr="00593E57" w:rsidRDefault="00453D99" w:rsidP="00453D99">
      <w:pPr>
        <w:pStyle w:val="BodyText"/>
        <w:rPr>
          <w:sz w:val="24"/>
        </w:rPr>
      </w:pPr>
      <w:r w:rsidRPr="00593E57">
        <w:rPr>
          <w:sz w:val="24"/>
        </w:rPr>
        <w:t>_________________________</w:t>
      </w:r>
    </w:p>
    <w:p w:rsidR="00453D99" w:rsidRPr="00593E57" w:rsidRDefault="00453D99" w:rsidP="00453D99">
      <w:pPr>
        <w:spacing w:before="120"/>
      </w:pPr>
      <w:r w:rsidRPr="00593E57">
        <w:t xml:space="preserve">      Jasmina Hadžić, </w:t>
      </w:r>
      <w:proofErr w:type="spellStart"/>
      <w:r w:rsidRPr="00593E57">
        <w:t>dipl.oec</w:t>
      </w:r>
      <w:proofErr w:type="spellEnd"/>
      <w:r w:rsidRPr="00593E57">
        <w:t xml:space="preserve">.                        </w:t>
      </w:r>
    </w:p>
    <w:p w:rsidR="00453D99" w:rsidRPr="00593E57" w:rsidRDefault="00453D99" w:rsidP="00453D99">
      <w:pPr>
        <w:pStyle w:val="BodyText"/>
        <w:rPr>
          <w:sz w:val="24"/>
        </w:rPr>
      </w:pPr>
    </w:p>
    <w:p w:rsidR="00453D99" w:rsidRPr="00593E57" w:rsidRDefault="00453D99" w:rsidP="00453D99">
      <w:pPr>
        <w:pStyle w:val="BodyText"/>
        <w:rPr>
          <w:sz w:val="24"/>
        </w:rPr>
      </w:pPr>
    </w:p>
    <w:p w:rsidR="00453D99" w:rsidRPr="00593E57" w:rsidRDefault="00453D99" w:rsidP="00453D99">
      <w:pPr>
        <w:pStyle w:val="BodyText"/>
        <w:rPr>
          <w:sz w:val="24"/>
        </w:rPr>
      </w:pPr>
    </w:p>
    <w:p w:rsidR="00453D99" w:rsidRPr="00593E57" w:rsidRDefault="00453D99" w:rsidP="00453D99">
      <w:pPr>
        <w:pStyle w:val="BodyText"/>
        <w:rPr>
          <w:sz w:val="24"/>
        </w:rPr>
      </w:pPr>
    </w:p>
    <w:p w:rsidR="00453D99" w:rsidRPr="00593E57" w:rsidRDefault="00453D99" w:rsidP="00453D99">
      <w:pPr>
        <w:pStyle w:val="BodyText"/>
        <w:rPr>
          <w:sz w:val="24"/>
        </w:rPr>
      </w:pPr>
    </w:p>
    <w:p w:rsidR="00453D99" w:rsidRPr="00593E57" w:rsidRDefault="00453D99" w:rsidP="00453D99">
      <w:pPr>
        <w:pStyle w:val="BodyText"/>
        <w:rPr>
          <w:b/>
          <w:sz w:val="24"/>
        </w:rPr>
      </w:pPr>
      <w:r w:rsidRPr="00593E57">
        <w:rPr>
          <w:sz w:val="24"/>
        </w:rPr>
        <w:tab/>
      </w:r>
      <w:r w:rsidRPr="00593E57">
        <w:rPr>
          <w:sz w:val="24"/>
        </w:rPr>
        <w:tab/>
      </w:r>
      <w:r w:rsidRPr="00593E57">
        <w:rPr>
          <w:sz w:val="24"/>
        </w:rPr>
        <w:tab/>
      </w:r>
      <w:r w:rsidRPr="00593E57">
        <w:rPr>
          <w:sz w:val="24"/>
        </w:rPr>
        <w:tab/>
      </w:r>
      <w:r w:rsidRPr="00593E57">
        <w:rPr>
          <w:sz w:val="24"/>
        </w:rPr>
        <w:tab/>
      </w:r>
      <w:r w:rsidRPr="00593E57">
        <w:rPr>
          <w:sz w:val="24"/>
        </w:rPr>
        <w:tab/>
      </w:r>
      <w:r w:rsidRPr="00593E57">
        <w:rPr>
          <w:b/>
          <w:sz w:val="24"/>
        </w:rPr>
        <w:tab/>
      </w:r>
      <w:r w:rsidRPr="00593E57">
        <w:rPr>
          <w:b/>
          <w:sz w:val="24"/>
        </w:rPr>
        <w:tab/>
      </w:r>
      <w:r w:rsidRPr="00593E57">
        <w:rPr>
          <w:b/>
          <w:sz w:val="24"/>
        </w:rPr>
        <w:tab/>
        <w:t xml:space="preserve">Zakonski predstavnik:       </w:t>
      </w:r>
    </w:p>
    <w:p w:rsidR="00453D99" w:rsidRPr="00593E57" w:rsidRDefault="00453D99" w:rsidP="00453D99">
      <w:pPr>
        <w:pStyle w:val="BodyText"/>
        <w:rPr>
          <w:b/>
          <w:sz w:val="24"/>
        </w:rPr>
      </w:pPr>
      <w:r w:rsidRPr="00593E57">
        <w:rPr>
          <w:b/>
          <w:sz w:val="24"/>
        </w:rPr>
        <w:tab/>
      </w:r>
      <w:r w:rsidRPr="00593E57">
        <w:rPr>
          <w:b/>
          <w:sz w:val="24"/>
        </w:rPr>
        <w:tab/>
      </w:r>
      <w:r w:rsidRPr="00593E57">
        <w:rPr>
          <w:b/>
          <w:sz w:val="24"/>
        </w:rPr>
        <w:tab/>
      </w:r>
      <w:r w:rsidRPr="00593E57">
        <w:rPr>
          <w:b/>
          <w:sz w:val="24"/>
        </w:rPr>
        <w:tab/>
      </w:r>
      <w:r w:rsidRPr="00593E57">
        <w:rPr>
          <w:b/>
          <w:sz w:val="24"/>
        </w:rPr>
        <w:tab/>
      </w:r>
      <w:r w:rsidRPr="00593E57">
        <w:rPr>
          <w:b/>
          <w:sz w:val="24"/>
        </w:rPr>
        <w:tab/>
      </w:r>
      <w:r w:rsidRPr="00593E57">
        <w:rPr>
          <w:b/>
          <w:sz w:val="24"/>
        </w:rPr>
        <w:tab/>
      </w:r>
      <w:r w:rsidRPr="00593E57">
        <w:rPr>
          <w:b/>
          <w:sz w:val="24"/>
        </w:rPr>
        <w:tab/>
      </w:r>
      <w:r w:rsidRPr="00593E57">
        <w:rPr>
          <w:b/>
          <w:sz w:val="24"/>
        </w:rPr>
        <w:tab/>
      </w:r>
      <w:r w:rsidRPr="00593E57">
        <w:rPr>
          <w:b/>
          <w:sz w:val="24"/>
        </w:rPr>
        <w:tab/>
      </w:r>
    </w:p>
    <w:p w:rsidR="00453D99" w:rsidRPr="00593E57" w:rsidRDefault="00453D99" w:rsidP="00453D99">
      <w:pPr>
        <w:pStyle w:val="BodyText"/>
        <w:rPr>
          <w:b/>
          <w:sz w:val="24"/>
        </w:rPr>
      </w:pPr>
      <w:r w:rsidRPr="00593E57">
        <w:rPr>
          <w:b/>
          <w:sz w:val="24"/>
        </w:rPr>
        <w:tab/>
      </w:r>
      <w:r w:rsidRPr="00593E57">
        <w:rPr>
          <w:b/>
          <w:sz w:val="24"/>
        </w:rPr>
        <w:tab/>
      </w:r>
      <w:r w:rsidRPr="00593E57">
        <w:rPr>
          <w:b/>
          <w:sz w:val="24"/>
        </w:rPr>
        <w:tab/>
      </w:r>
      <w:r w:rsidRPr="00593E57">
        <w:rPr>
          <w:b/>
          <w:sz w:val="24"/>
        </w:rPr>
        <w:tab/>
      </w:r>
      <w:r w:rsidRPr="00593E57">
        <w:rPr>
          <w:b/>
          <w:sz w:val="24"/>
        </w:rPr>
        <w:tab/>
      </w:r>
      <w:r w:rsidRPr="00593E57">
        <w:rPr>
          <w:b/>
          <w:sz w:val="24"/>
        </w:rPr>
        <w:tab/>
      </w:r>
      <w:r w:rsidRPr="00593E57">
        <w:rPr>
          <w:b/>
          <w:sz w:val="24"/>
        </w:rPr>
        <w:tab/>
      </w:r>
      <w:r w:rsidRPr="00593E57">
        <w:rPr>
          <w:b/>
          <w:sz w:val="24"/>
        </w:rPr>
        <w:tab/>
      </w:r>
      <w:r w:rsidRPr="00593E57">
        <w:rPr>
          <w:b/>
          <w:sz w:val="24"/>
        </w:rPr>
        <w:tab/>
      </w:r>
      <w:r w:rsidRPr="00593E57">
        <w:rPr>
          <w:b/>
          <w:sz w:val="24"/>
        </w:rPr>
        <w:tab/>
        <w:t xml:space="preserve">Župan  </w:t>
      </w:r>
      <w:r w:rsidRPr="00593E57">
        <w:rPr>
          <w:b/>
          <w:sz w:val="24"/>
        </w:rPr>
        <w:tab/>
      </w:r>
      <w:r w:rsidRPr="00593E57">
        <w:rPr>
          <w:b/>
          <w:sz w:val="24"/>
        </w:rPr>
        <w:tab/>
        <w:t xml:space="preserve">     </w:t>
      </w:r>
      <w:r w:rsidRPr="00593E57">
        <w:rPr>
          <w:b/>
          <w:sz w:val="24"/>
        </w:rPr>
        <w:tab/>
      </w:r>
      <w:r w:rsidRPr="00593E57">
        <w:rPr>
          <w:b/>
          <w:sz w:val="24"/>
        </w:rPr>
        <w:tab/>
      </w:r>
      <w:r w:rsidRPr="00593E57">
        <w:rPr>
          <w:b/>
          <w:sz w:val="24"/>
        </w:rPr>
        <w:tab/>
      </w:r>
      <w:r w:rsidRPr="00593E57">
        <w:rPr>
          <w:b/>
          <w:sz w:val="24"/>
        </w:rPr>
        <w:tab/>
        <w:t>M. P.</w:t>
      </w:r>
      <w:r w:rsidRPr="00593E57">
        <w:rPr>
          <w:b/>
          <w:sz w:val="24"/>
        </w:rPr>
        <w:tab/>
      </w:r>
      <w:r w:rsidRPr="00593E57">
        <w:rPr>
          <w:b/>
          <w:sz w:val="24"/>
        </w:rPr>
        <w:tab/>
      </w:r>
      <w:r w:rsidRPr="00593E57">
        <w:rPr>
          <w:b/>
          <w:sz w:val="24"/>
        </w:rPr>
        <w:tab/>
        <w:t xml:space="preserve">     </w:t>
      </w:r>
      <w:r w:rsidRPr="00593E57">
        <w:rPr>
          <w:b/>
          <w:sz w:val="24"/>
        </w:rPr>
        <w:tab/>
        <w:t xml:space="preserve">               </w:t>
      </w:r>
      <w:r w:rsidRPr="00593E57">
        <w:rPr>
          <w:b/>
          <w:sz w:val="24"/>
        </w:rPr>
        <w:tab/>
      </w:r>
      <w:r w:rsidRPr="00593E57">
        <w:rPr>
          <w:b/>
          <w:sz w:val="24"/>
        </w:rPr>
        <w:tab/>
      </w:r>
      <w:r w:rsidRPr="00593E57">
        <w:rPr>
          <w:b/>
          <w:sz w:val="24"/>
        </w:rPr>
        <w:tab/>
      </w:r>
      <w:r w:rsidRPr="00593E57">
        <w:rPr>
          <w:b/>
          <w:sz w:val="24"/>
        </w:rPr>
        <w:tab/>
      </w:r>
      <w:r w:rsidRPr="00593E57">
        <w:rPr>
          <w:b/>
          <w:sz w:val="24"/>
        </w:rPr>
        <w:tab/>
      </w:r>
      <w:r w:rsidRPr="00593E57">
        <w:rPr>
          <w:b/>
          <w:sz w:val="24"/>
        </w:rPr>
        <w:tab/>
        <w:t xml:space="preserve">    </w:t>
      </w:r>
    </w:p>
    <w:p w:rsidR="00453D99" w:rsidRPr="00593E57" w:rsidRDefault="00453D99" w:rsidP="00453D99">
      <w:pPr>
        <w:pStyle w:val="BodyText"/>
        <w:rPr>
          <w:b/>
          <w:sz w:val="24"/>
        </w:rPr>
      </w:pPr>
      <w:r w:rsidRPr="00593E57">
        <w:rPr>
          <w:b/>
          <w:sz w:val="24"/>
        </w:rPr>
        <w:tab/>
      </w:r>
      <w:r w:rsidRPr="00593E57">
        <w:rPr>
          <w:b/>
          <w:sz w:val="24"/>
        </w:rPr>
        <w:tab/>
      </w:r>
      <w:r w:rsidRPr="00593E57">
        <w:rPr>
          <w:b/>
          <w:sz w:val="24"/>
        </w:rPr>
        <w:tab/>
      </w:r>
      <w:r w:rsidRPr="00593E57">
        <w:rPr>
          <w:b/>
          <w:sz w:val="24"/>
        </w:rPr>
        <w:tab/>
      </w:r>
      <w:r w:rsidRPr="00593E57">
        <w:rPr>
          <w:b/>
          <w:sz w:val="24"/>
        </w:rPr>
        <w:tab/>
      </w:r>
      <w:r w:rsidRPr="00593E57">
        <w:rPr>
          <w:b/>
          <w:sz w:val="24"/>
        </w:rPr>
        <w:tab/>
      </w:r>
      <w:r w:rsidRPr="00593E57">
        <w:rPr>
          <w:b/>
          <w:sz w:val="24"/>
        </w:rPr>
        <w:tab/>
      </w:r>
      <w:r w:rsidRPr="00593E57">
        <w:rPr>
          <w:b/>
          <w:sz w:val="24"/>
        </w:rPr>
        <w:tab/>
        <w:t xml:space="preserve">     _________________________</w:t>
      </w:r>
    </w:p>
    <w:p w:rsidR="00453D99" w:rsidRPr="00593E57" w:rsidRDefault="00453D99" w:rsidP="00453D99">
      <w:pPr>
        <w:spacing w:before="120"/>
        <w:ind w:left="5664"/>
        <w:rPr>
          <w:b/>
        </w:rPr>
      </w:pPr>
      <w:r w:rsidRPr="00593E57">
        <w:rPr>
          <w:b/>
        </w:rPr>
        <w:t xml:space="preserve">        Ivica </w:t>
      </w:r>
      <w:proofErr w:type="spellStart"/>
      <w:r w:rsidRPr="00593E57">
        <w:rPr>
          <w:b/>
        </w:rPr>
        <w:t>Lukanović</w:t>
      </w:r>
      <w:proofErr w:type="spellEnd"/>
      <w:r w:rsidRPr="00593E57">
        <w:rPr>
          <w:b/>
        </w:rPr>
        <w:t xml:space="preserve">, </w:t>
      </w:r>
      <w:proofErr w:type="spellStart"/>
      <w:r w:rsidRPr="00593E57">
        <w:rPr>
          <w:b/>
        </w:rPr>
        <w:t>dipl.ing</w:t>
      </w:r>
      <w:proofErr w:type="spellEnd"/>
      <w:r w:rsidRPr="00593E57">
        <w:rPr>
          <w:b/>
        </w:rPr>
        <w:t xml:space="preserve">.                        </w:t>
      </w:r>
    </w:p>
    <w:p w:rsidR="00453D99" w:rsidRDefault="00453D99"/>
    <w:sectPr w:rsidR="00453D99">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5DBE" w:rsidRDefault="00AD5DBE" w:rsidP="00AD5DBE">
      <w:pPr>
        <w:spacing w:after="0" w:line="240" w:lineRule="auto"/>
      </w:pPr>
      <w:r>
        <w:separator/>
      </w:r>
    </w:p>
  </w:endnote>
  <w:endnote w:type="continuationSeparator" w:id="0">
    <w:p w:rsidR="00AD5DBE" w:rsidRDefault="00AD5DBE" w:rsidP="00AD5D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269986"/>
      <w:docPartObj>
        <w:docPartGallery w:val="Page Numbers (Bottom of Page)"/>
        <w:docPartUnique/>
      </w:docPartObj>
    </w:sdtPr>
    <w:sdtEndPr>
      <w:rPr>
        <w:noProof/>
      </w:rPr>
    </w:sdtEndPr>
    <w:sdtContent>
      <w:p w:rsidR="00AD5DBE" w:rsidRDefault="00AD5DBE">
        <w:pPr>
          <w:pStyle w:val="Footer"/>
          <w:jc w:val="center"/>
        </w:pPr>
        <w:r>
          <w:fldChar w:fldCharType="begin"/>
        </w:r>
        <w:r>
          <w:instrText xml:space="preserve"> PAGE   \* MERGEFORMAT </w:instrText>
        </w:r>
        <w:r>
          <w:fldChar w:fldCharType="separate"/>
        </w:r>
        <w:r>
          <w:rPr>
            <w:noProof/>
          </w:rPr>
          <w:t>20</w:t>
        </w:r>
        <w:r>
          <w:rPr>
            <w:noProof/>
          </w:rPr>
          <w:fldChar w:fldCharType="end"/>
        </w:r>
      </w:p>
    </w:sdtContent>
  </w:sdt>
  <w:p w:rsidR="00AD5DBE" w:rsidRDefault="00AD5D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5DBE" w:rsidRDefault="00AD5DBE" w:rsidP="00AD5DBE">
      <w:pPr>
        <w:spacing w:after="0" w:line="240" w:lineRule="auto"/>
      </w:pPr>
      <w:r>
        <w:separator/>
      </w:r>
    </w:p>
  </w:footnote>
  <w:footnote w:type="continuationSeparator" w:id="0">
    <w:p w:rsidR="00AD5DBE" w:rsidRDefault="00AD5DBE" w:rsidP="00AD5D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9F2366"/>
    <w:multiLevelType w:val="hybridMultilevel"/>
    <w:tmpl w:val="90743BAA"/>
    <w:name w:val="disc"/>
    <w:lvl w:ilvl="0" w:tplc="6314849A">
      <w:start w:val="1"/>
      <w:numFmt w:val="bullet"/>
      <w:lvlText w:val="•"/>
      <w:lvlJc w:val="left"/>
      <w:pPr>
        <w:ind w:left="720" w:hanging="360"/>
      </w:pPr>
    </w:lvl>
    <w:lvl w:ilvl="1" w:tplc="9356E44E">
      <w:start w:val="1"/>
      <w:numFmt w:val="bullet"/>
      <w:lvlText w:val="•"/>
      <w:lvlJc w:val="left"/>
      <w:pPr>
        <w:ind w:left="1440" w:hanging="360"/>
      </w:pPr>
    </w:lvl>
    <w:lvl w:ilvl="2" w:tplc="1E089CAA">
      <w:start w:val="1"/>
      <w:numFmt w:val="bullet"/>
      <w:lvlText w:val="•"/>
      <w:lvlJc w:val="left"/>
      <w:pPr>
        <w:ind w:left="2160" w:hanging="360"/>
      </w:pPr>
    </w:lvl>
    <w:lvl w:ilvl="3" w:tplc="BBF2E086">
      <w:start w:val="1"/>
      <w:numFmt w:val="bullet"/>
      <w:lvlText w:val="•"/>
      <w:lvlJc w:val="left"/>
      <w:pPr>
        <w:ind w:left="2880" w:hanging="360"/>
      </w:pPr>
    </w:lvl>
    <w:lvl w:ilvl="4" w:tplc="FA0663A4">
      <w:start w:val="1"/>
      <w:numFmt w:val="bullet"/>
      <w:lvlText w:val="•"/>
      <w:lvlJc w:val="left"/>
      <w:pPr>
        <w:ind w:left="3600" w:hanging="360"/>
      </w:pPr>
    </w:lvl>
    <w:lvl w:ilvl="5" w:tplc="1352A848">
      <w:start w:val="1"/>
      <w:numFmt w:val="bullet"/>
      <w:lvlText w:val="•"/>
      <w:lvlJc w:val="left"/>
      <w:pPr>
        <w:ind w:left="4320" w:hanging="360"/>
      </w:pPr>
    </w:lvl>
    <w:lvl w:ilvl="6" w:tplc="59D4B588">
      <w:start w:val="1"/>
      <w:numFmt w:val="bullet"/>
      <w:lvlText w:val="•"/>
      <w:lvlJc w:val="left"/>
      <w:pPr>
        <w:ind w:left="5040" w:hanging="360"/>
      </w:pPr>
    </w:lvl>
    <w:lvl w:ilvl="7" w:tplc="C8D87B22">
      <w:start w:val="1"/>
      <w:numFmt w:val="bullet"/>
      <w:lvlText w:val="•"/>
      <w:lvlJc w:val="left"/>
      <w:pPr>
        <w:ind w:left="5760" w:hanging="360"/>
      </w:pPr>
    </w:lvl>
    <w:lvl w:ilvl="8" w:tplc="5348506C">
      <w:start w:val="1"/>
      <w:numFmt w:val="bullet"/>
      <w:lvlText w:val="•"/>
      <w:lvlJc w:val="left"/>
      <w:pPr>
        <w:ind w:left="6480" w:hanging="360"/>
      </w:pPr>
    </w:lvl>
  </w:abstractNum>
  <w:num w:numId="1">
    <w:abstractNumId w:val="0"/>
    <w:lvlOverride w:ilvl="0">
      <w:startOverride w:val="1"/>
    </w:lvlOverride>
  </w:num>
  <w:num w:numId="2">
    <w:abstractNumId w:val="0"/>
    <w:lvlOverride w:ilvl="0">
      <w:startOverride w:val="1"/>
    </w:lvlOverride>
  </w:num>
  <w:num w:numId="3">
    <w:abstractNumId w:val="0"/>
    <w:lvlOverride w:ilvl="0">
      <w:startOverride w:val="1"/>
    </w:lvlOverride>
  </w:num>
  <w:num w:numId="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8BA"/>
    <w:rsid w:val="00187140"/>
    <w:rsid w:val="00453D99"/>
    <w:rsid w:val="004B5E09"/>
    <w:rsid w:val="006B7671"/>
    <w:rsid w:val="00947A18"/>
    <w:rsid w:val="009D3F59"/>
    <w:rsid w:val="00AD5DBE"/>
    <w:rsid w:val="00AF38BA"/>
    <w:rsid w:val="00FE15D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B12388F-D7DC-4367-960B-FB7FE07F1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hr-HR" w:eastAsia="hr-H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pPr>
      <w:spacing w:after="0" w:line="240" w:lineRule="auto"/>
      <w:ind w:left="720"/>
      <w:contextualSpacing/>
    </w:pPr>
  </w:style>
  <w:style w:type="paragraph" w:styleId="BodyText">
    <w:name w:val="Body Text"/>
    <w:aliases w:val="uvlaka 2,uvlaka 3,  uvlaka 2, uvlaka 3"/>
    <w:basedOn w:val="Normal"/>
    <w:link w:val="BodyTextChar"/>
    <w:rsid w:val="00453D99"/>
    <w:pPr>
      <w:spacing w:after="0" w:line="240" w:lineRule="auto"/>
    </w:pPr>
    <w:rPr>
      <w:sz w:val="28"/>
      <w:szCs w:val="24"/>
    </w:rPr>
  </w:style>
  <w:style w:type="character" w:customStyle="1" w:styleId="BodyTextChar">
    <w:name w:val="Body Text Char"/>
    <w:aliases w:val="uvlaka 2 Char,uvlaka 3 Char,  uvlaka 2 Char, uvlaka 3 Char"/>
    <w:basedOn w:val="DefaultParagraphFont"/>
    <w:link w:val="BodyText"/>
    <w:rsid w:val="00453D99"/>
    <w:rPr>
      <w:sz w:val="28"/>
      <w:szCs w:val="24"/>
    </w:rPr>
  </w:style>
  <w:style w:type="paragraph" w:styleId="Header">
    <w:name w:val="header"/>
    <w:basedOn w:val="Normal"/>
    <w:link w:val="HeaderChar"/>
    <w:uiPriority w:val="99"/>
    <w:unhideWhenUsed/>
    <w:rsid w:val="00AD5DBE"/>
    <w:pPr>
      <w:tabs>
        <w:tab w:val="center" w:pos="4536"/>
        <w:tab w:val="right" w:pos="9072"/>
      </w:tabs>
      <w:spacing w:after="0" w:line="240" w:lineRule="auto"/>
    </w:pPr>
  </w:style>
  <w:style w:type="character" w:customStyle="1" w:styleId="HeaderChar">
    <w:name w:val="Header Char"/>
    <w:basedOn w:val="DefaultParagraphFont"/>
    <w:link w:val="Header"/>
    <w:uiPriority w:val="99"/>
    <w:rsid w:val="00AD5DBE"/>
  </w:style>
  <w:style w:type="paragraph" w:styleId="Footer">
    <w:name w:val="footer"/>
    <w:basedOn w:val="Normal"/>
    <w:link w:val="FooterChar"/>
    <w:uiPriority w:val="99"/>
    <w:unhideWhenUsed/>
    <w:rsid w:val="00AD5DBE"/>
    <w:pPr>
      <w:tabs>
        <w:tab w:val="center" w:pos="4536"/>
        <w:tab w:val="right" w:pos="9072"/>
      </w:tabs>
      <w:spacing w:after="0" w:line="240" w:lineRule="auto"/>
    </w:pPr>
  </w:style>
  <w:style w:type="character" w:customStyle="1" w:styleId="FooterChar">
    <w:name w:val="Footer Char"/>
    <w:basedOn w:val="DefaultParagraphFont"/>
    <w:link w:val="Footer"/>
    <w:uiPriority w:val="99"/>
    <w:rsid w:val="00AD5D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20</Pages>
  <Words>6105</Words>
  <Characters>34804</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PGŽ</Company>
  <LinksUpToDate>false</LinksUpToDate>
  <CharactersWithSpaces>40828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Jasmina Hadžić</dc:creator>
  <cp:lastModifiedBy>Jasmina Hadžić</cp:lastModifiedBy>
  <cp:revision>8</cp:revision>
  <dcterms:created xsi:type="dcterms:W3CDTF">2026-02-16T08:37:00Z</dcterms:created>
  <dcterms:modified xsi:type="dcterms:W3CDTF">2026-02-16T09:47:00Z</dcterms:modified>
</cp:coreProperties>
</file>