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6B37BA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6B37BA" w:rsidRDefault="00EC285D">
            <w:pPr>
              <w:spacing w:after="0" w:line="240" w:lineRule="auto"/>
            </w:pPr>
            <w:bookmarkStart w:id="0" w:name="_GoBack"/>
            <w:bookmarkEnd w:id="0"/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6B37BA" w:rsidRDefault="00EC285D">
            <w:pPr>
              <w:spacing w:after="0" w:line="240" w:lineRule="auto"/>
            </w:pPr>
            <w:r>
              <w:t>29429</w:t>
            </w:r>
          </w:p>
        </w:tc>
      </w:tr>
      <w:tr w:rsidR="006B37BA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6B37BA" w:rsidRDefault="00EC285D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6B37BA" w:rsidRDefault="00EC285D">
            <w:pPr>
              <w:spacing w:after="0" w:line="240" w:lineRule="auto"/>
            </w:pPr>
            <w:r>
              <w:t>PRIMORSKO-GORANSKA ŽUPANIJA</w:t>
            </w:r>
          </w:p>
        </w:tc>
      </w:tr>
      <w:tr w:rsidR="006B37BA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6B37BA" w:rsidRDefault="00EC285D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6B37BA" w:rsidRDefault="00EC285D">
            <w:pPr>
              <w:spacing w:after="0" w:line="240" w:lineRule="auto"/>
            </w:pPr>
            <w:r>
              <w:t>22</w:t>
            </w:r>
          </w:p>
        </w:tc>
      </w:tr>
    </w:tbl>
    <w:p w:rsidR="006B37BA" w:rsidRDefault="00EC285D">
      <w:r>
        <w:br/>
      </w:r>
    </w:p>
    <w:p w:rsidR="006B37BA" w:rsidRDefault="00EC285D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:rsidR="006B37BA" w:rsidRDefault="00EC285D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6B37BA" w:rsidRDefault="00EC285D">
      <w:pPr>
        <w:spacing w:line="240" w:lineRule="auto"/>
        <w:jc w:val="center"/>
      </w:pPr>
      <w:r>
        <w:rPr>
          <w:b/>
          <w:sz w:val="28"/>
        </w:rPr>
        <w:t>I - VI 2025.</w:t>
      </w:r>
    </w:p>
    <w:p w:rsidR="006B37BA" w:rsidRDefault="006B37BA"/>
    <w:p w:rsidR="006B37BA" w:rsidRDefault="00EC285D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:rsidR="006B37BA" w:rsidRDefault="00EC285D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B37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B37B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36.998.988,64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43.370.830,39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117,2</w:t>
            </w:r>
          </w:p>
        </w:tc>
      </w:tr>
      <w:tr w:rsidR="006B37B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24.692.185,77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37.049.755,46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150,0</w:t>
            </w:r>
          </w:p>
        </w:tc>
      </w:tr>
      <w:tr w:rsidR="006B37B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6B37BA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12.306.802,87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6.321.074,93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51,4</w:t>
            </w:r>
          </w:p>
        </w:tc>
      </w:tr>
      <w:tr w:rsidR="006B37B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53.939,58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6B37B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300.610,14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1.095.627,16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364,5</w:t>
            </w:r>
          </w:p>
        </w:tc>
      </w:tr>
      <w:tr w:rsidR="006B37B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6B37BA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300.610,14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1.041.687,58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346,5</w:t>
            </w:r>
          </w:p>
        </w:tc>
      </w:tr>
      <w:tr w:rsidR="006B37B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312.995,61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6B37B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Izdaci za financijsku imovinu i otplate </w:t>
            </w:r>
            <w:r>
              <w:rPr>
                <w:sz w:val="18"/>
              </w:rPr>
              <w:t>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113.771,65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178.114,57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156,6</w:t>
            </w:r>
          </w:p>
        </w:tc>
      </w:tr>
      <w:tr w:rsidR="006B37B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6B37BA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PRIMITAKA OD FINANCIJSKE IMOVINE I ZADUŽIVANJA (šifre 8-5)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134.881,04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6B37B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6B37BA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I PRIMITAKA (šifre X678-Y345)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11.892.421,08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5.414.268,39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45,5</w:t>
            </w:r>
          </w:p>
        </w:tc>
      </w:tr>
    </w:tbl>
    <w:p w:rsidR="006B37BA" w:rsidRDefault="006B37BA">
      <w:pPr>
        <w:spacing w:after="0"/>
      </w:pPr>
    </w:p>
    <w:p w:rsidR="006B37BA" w:rsidRDefault="00EC285D">
      <w:pPr>
        <w:spacing w:line="240" w:lineRule="auto"/>
        <w:jc w:val="both"/>
      </w:pPr>
      <w:r>
        <w:t xml:space="preserve">Prihodi poslovanja </w:t>
      </w:r>
      <w:r>
        <w:t xml:space="preserve">Primorsko-goranske županije u razdoblju od 01. siječnja do 30. lipnja 2025. godine iznose 43.370.830,39 eura, što je za 17,2% više u odnosu na isto razdoblje prethodne godine kada su iznosili 36.998.988,64 eura. Rashodi poslovanja u izvještajnom razdoblju </w:t>
      </w:r>
      <w:r>
        <w:t>ostvareni su, s druge strane, s rastom od 50% odnosno u iznosu od 37.049.755,46 eura, dok su u istom razdoblju prethodne godine iznosili 24.692.185,77 eura. Navedeno je rezultiralo smanjenjem viška prihoda poslovanja za 48,6% u odnosu na prethodno izvješta</w:t>
      </w:r>
      <w:r>
        <w:t xml:space="preserve">jno razdoblje.    Prihodi od prodaje nefinancijske imovine Županije u izvještajnom razdoblju </w:t>
      </w:r>
      <w:r>
        <w:lastRenderedPageBreak/>
        <w:t>tekuće godine iznose 53.939,58 eura, a u istom razdoblju prethodne godine nisu ostvareni. Dok su rashodi za nabavu nefinancijske imovine u 2025. godini ostvareni u</w:t>
      </w:r>
      <w:r>
        <w:t xml:space="preserve"> iznosu od 1.095.627,16 eura, što je za 264,5% više u odnosu na izvještajno razdoblje prethodne godine kada su iznosili 300.610,14 eura. Slijedom navedenog, manjak prihoda od nefinancijske imovine tekuće godine veći je za 246,5% u odnosu na ostvarenje u is</w:t>
      </w:r>
      <w:r>
        <w:t>tom razdoblju prethodne godine.   Primici od financijske imovine i zaduživanja u izvještajnom razdoblju 2025. godine iznose 312.995,61 eura, a u istom razdoblju prethodne godine nisu ostvareni. Dok izdaci za financijsku imovinu i otplate zajmova u izvješta</w:t>
      </w:r>
      <w:r>
        <w:t>jnom razdoblju tekuće godine iznose 178.114,57 eura i veći su za 56,6% u odnosu na izdatke ostvarene prethodne godine, stoga je u izvještajnom razdoblju tekuće godine ostvaren višak primitaka od financijske imovine i zaduživanja u iznosu od 134.881,04 eura</w:t>
      </w:r>
      <w:r>
        <w:t>.  Sve navedeno je rezultiralo smanjenjem rezultata poslovanja Županije u izvještajnom razdoblju tekuće godine za 54,5% u odnosu na prethodnu godinu, sa 11.892.421,08 eura na 5.414.268,39 eura.</w:t>
      </w:r>
    </w:p>
    <w:p w:rsidR="006B37BA" w:rsidRDefault="00EC285D">
      <w:r>
        <w:br/>
      </w:r>
    </w:p>
    <w:p w:rsidR="006B37BA" w:rsidRDefault="00EC285D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B37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</w:t>
            </w:r>
            <w:r>
              <w:rPr>
                <w:b/>
                <w:sz w:val="18"/>
              </w:rPr>
              <w:t>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B37B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Porez na dohodak (šifre 6111 do 6116 - 6117 - 6119)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27.000.013,48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31.917.779,64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118,2</w:t>
            </w:r>
          </w:p>
        </w:tc>
      </w:tr>
    </w:tbl>
    <w:p w:rsidR="006B37BA" w:rsidRDefault="006B37BA">
      <w:pPr>
        <w:spacing w:after="0"/>
      </w:pPr>
    </w:p>
    <w:p w:rsidR="006B37BA" w:rsidRDefault="00EC285D">
      <w:pPr>
        <w:spacing w:line="240" w:lineRule="auto"/>
        <w:jc w:val="both"/>
      </w:pPr>
      <w:r>
        <w:t xml:space="preserve">Povećanje naplate poreza na dohodak u prvoj polovici </w:t>
      </w:r>
      <w:r>
        <w:t>2025. godine nastavak je trenda iz prethodne četiri godine, što je posljedica gospodarskog rasta i povećanja zaposlenosti, odnosno inflatornih pritisaka na rast plaća.</w:t>
      </w:r>
    </w:p>
    <w:p w:rsidR="006B37BA" w:rsidRDefault="006B37BA"/>
    <w:p w:rsidR="006B37BA" w:rsidRDefault="00EC285D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B37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</w:t>
            </w:r>
            <w:r>
              <w:rPr>
                <w:b/>
                <w:sz w:val="18"/>
              </w:rPr>
              <w:t>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B37B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proračunu i izvanproračunskim korisnicima iz drugih proračuna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2.347.767,30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3.505.684,16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149,3</w:t>
            </w:r>
          </w:p>
        </w:tc>
      </w:tr>
    </w:tbl>
    <w:p w:rsidR="006B37BA" w:rsidRDefault="006B37BA">
      <w:pPr>
        <w:spacing w:after="0"/>
      </w:pPr>
    </w:p>
    <w:p w:rsidR="006B37BA" w:rsidRDefault="00EC285D">
      <w:pPr>
        <w:spacing w:line="240" w:lineRule="auto"/>
        <w:jc w:val="both"/>
      </w:pPr>
      <w:r>
        <w:t xml:space="preserve">Najveće odstupanje je kod prihoda iz Državnog proračuna- </w:t>
      </w:r>
      <w:r>
        <w:t>Ministarstvo mora, prometa i infrastrukture ostvarenih za financiranje besplatnog, javnog otočnog cestovnog prijevoza putnika na području Županije odnosno otoka Krk, Cres, Lošinj i Rab, temeljem Pravilnika o načinu ostvarivanja prava na besplatan javni oto</w:t>
      </w:r>
      <w:r>
        <w:t>čni cestovni prijevoz („Narodne novine“ broj 68/24), na ime kojih je Županiji u 2025. godini doznačeno 1.197.666,85 eura, dok isti u prvoj polovici 2024. godine nije ostvaren.</w:t>
      </w:r>
    </w:p>
    <w:p w:rsidR="006B37BA" w:rsidRDefault="006B37BA"/>
    <w:p w:rsidR="006B37BA" w:rsidRDefault="00EC285D">
      <w:pPr>
        <w:keepNext/>
        <w:spacing w:line="240" w:lineRule="auto"/>
        <w:jc w:val="center"/>
      </w:pPr>
      <w:r>
        <w:rPr>
          <w:sz w:val="28"/>
        </w:rPr>
        <w:lastRenderedPageBreak/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B37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</w:t>
            </w:r>
            <w:r>
              <w:rPr>
                <w:b/>
                <w:sz w:val="18"/>
              </w:rPr>
              <w:t>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B37B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za koncesije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2.232.283,23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1.809.661,14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81,1</w:t>
            </w:r>
          </w:p>
        </w:tc>
      </w:tr>
    </w:tbl>
    <w:p w:rsidR="006B37BA" w:rsidRDefault="006B37BA">
      <w:pPr>
        <w:spacing w:after="0"/>
      </w:pPr>
    </w:p>
    <w:p w:rsidR="006B37BA" w:rsidRDefault="00EC285D">
      <w:pPr>
        <w:spacing w:line="240" w:lineRule="auto"/>
        <w:jc w:val="both"/>
      </w:pPr>
      <w:r>
        <w:t>Na navedeno, u najvećoj mjeri, utjecalo je smanjenje prihoda od naknade za upotrebu pomorskog dobra (u 2024.</w:t>
      </w:r>
      <w:r>
        <w:t xml:space="preserve"> godini ostvareno je 641.569,58 eura, a u 2025. godini 82.327,02 eura). Naime, za 2023. godinu Ministarstvo mora, prometa i infrastrukture obveznicima je ispostavilo račune za naknadu za upotrebu pomorskog dobra krajem prosinca 2023. godine te je glavnina </w:t>
      </w:r>
      <w:r>
        <w:t>prihoda temeljem istih ostvarena početkom 2024. godine, dok su za 2024. godinu računi ispostavljeni u mjesecu listopadu 2024. godine, što je uzrok smanjenja ostvarenja prihoda po osnovi predmetne naknade u izvještajnom razdoblju.</w:t>
      </w:r>
    </w:p>
    <w:p w:rsidR="006B37BA" w:rsidRDefault="006B37BA"/>
    <w:p w:rsidR="006B37BA" w:rsidRDefault="00EC285D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B37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 xml:space="preserve">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B37B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(bruto) (šifre 3111 do 3114)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3.916.632,43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5.499.423,38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140,4</w:t>
            </w:r>
          </w:p>
        </w:tc>
      </w:tr>
    </w:tbl>
    <w:p w:rsidR="006B37BA" w:rsidRDefault="006B37BA">
      <w:pPr>
        <w:spacing w:after="0"/>
      </w:pPr>
    </w:p>
    <w:p w:rsidR="006B37BA" w:rsidRDefault="00EC285D">
      <w:pPr>
        <w:spacing w:line="240" w:lineRule="auto"/>
        <w:jc w:val="both"/>
      </w:pPr>
      <w:r>
        <w:t>Predmetno povećanje, u najvećoj mjeri, je</w:t>
      </w:r>
      <w:r>
        <w:t xml:space="preserve"> rezultat povećanja osnovice za obračun plaće službenika i namještenika u upravnim tijelima Primorsko-goranske županije u listopadu 2024. godine za 10% i siječnju 2025. godine za 20%, te povećanja koeficijenata za obračun plaće službenika i namještenika u </w:t>
      </w:r>
      <w:r>
        <w:t>upravnim tijelima Primorsko-goranske županije u travnju 2024. godine.</w:t>
      </w:r>
    </w:p>
    <w:p w:rsidR="006B37BA" w:rsidRDefault="006B37BA"/>
    <w:p w:rsidR="006B37BA" w:rsidRDefault="00EC285D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B37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B37B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Kapitalne pomoći </w:t>
            </w:r>
            <w:r>
              <w:rPr>
                <w:sz w:val="18"/>
              </w:rPr>
              <w:t>drugom proračunu i izvanproračunskim korisnicima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336.771,80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1.093.238,45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324,6</w:t>
            </w:r>
          </w:p>
        </w:tc>
      </w:tr>
    </w:tbl>
    <w:p w:rsidR="006B37BA" w:rsidRDefault="006B37BA">
      <w:pPr>
        <w:spacing w:after="0"/>
      </w:pPr>
    </w:p>
    <w:p w:rsidR="006B37BA" w:rsidRDefault="00EC285D">
      <w:pPr>
        <w:spacing w:line="240" w:lineRule="auto"/>
        <w:jc w:val="both"/>
      </w:pPr>
      <w:r>
        <w:t>Do navedenog povećanja najvećim je djelom došlo kao rezultat povećanja rashoda za programe: Zaštita zdravlja i poboljšanje zdravstvenog sustava (u 2024. godini 0,00 eura,</w:t>
      </w:r>
      <w:r>
        <w:t xml:space="preserve"> a u 2025. godini 245.267,33 eura) i Ostali programi socijalne skrbi (u 2024. godini 0,00 eura, a u 2025. godini 464.883,04 eura).</w:t>
      </w:r>
    </w:p>
    <w:p w:rsidR="006B37BA" w:rsidRDefault="006B37BA"/>
    <w:p w:rsidR="006B37BA" w:rsidRDefault="00EC285D">
      <w:pPr>
        <w:keepNext/>
        <w:spacing w:line="240" w:lineRule="auto"/>
        <w:jc w:val="center"/>
      </w:pPr>
      <w:r>
        <w:rPr>
          <w:sz w:val="28"/>
        </w:rPr>
        <w:lastRenderedPageBreak/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B37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</w:t>
            </w:r>
            <w:r>
              <w:rPr>
                <w:b/>
                <w:sz w:val="18"/>
              </w:rPr>
              <w:t>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B37B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građanima i kućanstvima u naravi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707.648,86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1.455.743,36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205,7</w:t>
            </w:r>
          </w:p>
        </w:tc>
      </w:tr>
    </w:tbl>
    <w:p w:rsidR="006B37BA" w:rsidRDefault="006B37BA">
      <w:pPr>
        <w:spacing w:after="0"/>
      </w:pPr>
    </w:p>
    <w:p w:rsidR="006B37BA" w:rsidRDefault="00EC285D">
      <w:pPr>
        <w:spacing w:line="240" w:lineRule="auto"/>
        <w:jc w:val="both"/>
      </w:pPr>
      <w:r>
        <w:t xml:space="preserve">Navedeno je, najvećim djelom, rezultat rashoda za financiranje besplatnog, javnog otočnog cestovnog prijevoza putnika na području </w:t>
      </w:r>
      <w:r>
        <w:t>Županije, odnosno otoka Krk, Cres, Lošinj i Rab, a koje županije podmiruju temeljem Pravilnika o načinu ostvarivanja prava na besplatan javni otočni cestovni prijevoz („Narodne novine“ broj 68/24) iz namjenskog prihoda doznačenog iz Državnog proračuna-Mini</w:t>
      </w:r>
      <w:r>
        <w:t>starstvo mora, prometa i infrastrukture (veza: šifra 6331). U 2025. godini rashodi za tu namjenu iznose 899.540,96 eura, dok u prvoj polovici 2024. godine isti nisu ostvareni.</w:t>
      </w:r>
    </w:p>
    <w:p w:rsidR="006B37BA" w:rsidRDefault="006B37BA"/>
    <w:p w:rsidR="006B37BA" w:rsidRDefault="00EC285D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B37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</w:t>
            </w:r>
            <w:r>
              <w:rPr>
                <w:b/>
                <w:sz w:val="18"/>
              </w:rPr>
              <w:t>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B37B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donacije u novcu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2.072.992,72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2.710.887,83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130,8</w:t>
            </w:r>
          </w:p>
        </w:tc>
      </w:tr>
    </w:tbl>
    <w:p w:rsidR="006B37BA" w:rsidRDefault="006B37BA">
      <w:pPr>
        <w:spacing w:after="0"/>
      </w:pPr>
    </w:p>
    <w:p w:rsidR="006B37BA" w:rsidRDefault="00EC285D">
      <w:pPr>
        <w:spacing w:line="240" w:lineRule="auto"/>
        <w:jc w:val="both"/>
      </w:pPr>
      <w:r>
        <w:t xml:space="preserve">Predmetno odstupanje, najvećim djelom, rezultat je promjena u računovodstvenom evidentiranju rashoda i </w:t>
      </w:r>
      <w:r>
        <w:t xml:space="preserve">obveza za donacije u 2025. godini. Naime, novim Pravilnikom o proračunskom računovodstvu i Računskom planu („Narodne novine“, broj 158/23 i 154/24) koji se primjenjuje u računovodstvenim evidencijama od 01. siječnja 2025. godine, utvrđeno je da se rashodi </w:t>
      </w:r>
      <w:r>
        <w:t>i obveze za tekuće donacije priznaju i iskazuju prema načelu nastanka događaja odnosno u trenutku donošenja odluke nadležnog tijela o dodjeli donacije, dok su se isti u prethodnom izvještajnom razdoblju evidentirali po novčanom načelu odnosno u trenutku pl</w:t>
      </w:r>
      <w:r>
        <w:t>aćanja.</w:t>
      </w:r>
    </w:p>
    <w:p w:rsidR="006B37BA" w:rsidRDefault="006B37BA"/>
    <w:p w:rsidR="006B37BA" w:rsidRDefault="00EC285D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B37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B37B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Poslovni objekti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418.674,01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6B37BA" w:rsidRDefault="006B37BA">
      <w:pPr>
        <w:spacing w:after="0"/>
      </w:pPr>
    </w:p>
    <w:p w:rsidR="006B37BA" w:rsidRDefault="00EC285D">
      <w:pPr>
        <w:spacing w:line="240" w:lineRule="auto"/>
        <w:jc w:val="both"/>
      </w:pPr>
      <w:r>
        <w:t xml:space="preserve">Najvećim djelom, navedeno se odnosi </w:t>
      </w:r>
      <w:r>
        <w:t xml:space="preserve">na povećanje rashoda ostvarenih u okviru projekta Zdravstveni centar </w:t>
      </w:r>
      <w:proofErr w:type="spellStart"/>
      <w:r>
        <w:t>Rujevica</w:t>
      </w:r>
      <w:proofErr w:type="spellEnd"/>
      <w:r>
        <w:t xml:space="preserve"> – Zapad, a koji su u 2025. godini iznosili 394.782,01 eura dok u 2024. godini nisu ostvareni.</w:t>
      </w:r>
    </w:p>
    <w:p w:rsidR="006B37BA" w:rsidRDefault="006B37BA"/>
    <w:p w:rsidR="006B37BA" w:rsidRDefault="00EC285D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B37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</w:t>
            </w:r>
            <w:r>
              <w:rPr>
                <w:b/>
                <w:sz w:val="18"/>
              </w:rPr>
              <w:t>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B37B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Dodatna ulaganja na građevinskim objektima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31.500,00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448.713,92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1424,5</w:t>
            </w:r>
          </w:p>
        </w:tc>
      </w:tr>
    </w:tbl>
    <w:p w:rsidR="006B37BA" w:rsidRDefault="006B37BA">
      <w:pPr>
        <w:spacing w:after="0"/>
      </w:pPr>
    </w:p>
    <w:p w:rsidR="006B37BA" w:rsidRDefault="00EC285D">
      <w:pPr>
        <w:spacing w:line="240" w:lineRule="auto"/>
        <w:jc w:val="both"/>
      </w:pPr>
      <w:r>
        <w:t xml:space="preserve">Navedeno povećanje rezultat je rashoda za nove projekte započete tijekom 2024. godine:  </w:t>
      </w:r>
      <w:r>
        <w:t xml:space="preserve">Dogradnja OŠ Omišalj – PŠ </w:t>
      </w:r>
      <w:proofErr w:type="spellStart"/>
      <w:r>
        <w:t>Dobrinj</w:t>
      </w:r>
      <w:proofErr w:type="spellEnd"/>
      <w:r>
        <w:t xml:space="preserve"> (u 2024. godini 31.500,00 eura, a u 2025. godini 308.513,09 eura), te Sanacija krovišta Građevinske tehničke škole Rijeka (u 2024. godini rashod nije ostvaren, a u 2025. godini iznosi 140.200,83 eura).</w:t>
      </w:r>
    </w:p>
    <w:p w:rsidR="006B37BA" w:rsidRDefault="006B37BA"/>
    <w:p w:rsidR="006B37BA" w:rsidRDefault="00EC285D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B37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</w:t>
            </w:r>
            <w:r>
              <w:rPr>
                <w:b/>
                <w:sz w:val="18"/>
              </w:rPr>
              <w:t xml:space="preserve">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B37B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8422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Primljeni krediti od kreditnih institucija u javnom sektoru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8422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312.995,61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6B37BA" w:rsidRDefault="006B37BA">
      <w:pPr>
        <w:spacing w:after="0"/>
      </w:pPr>
    </w:p>
    <w:p w:rsidR="006B37BA" w:rsidRDefault="00EC285D">
      <w:pPr>
        <w:spacing w:line="240" w:lineRule="auto"/>
        <w:jc w:val="both"/>
      </w:pPr>
      <w:r>
        <w:t xml:space="preserve">Za realizaciju </w:t>
      </w:r>
      <w:r>
        <w:t xml:space="preserve">kapitalnog projekta Zdravstveni centar </w:t>
      </w:r>
      <w:proofErr w:type="spellStart"/>
      <w:r>
        <w:t>Rujevica</w:t>
      </w:r>
      <w:proofErr w:type="spellEnd"/>
      <w:r>
        <w:t xml:space="preserve"> – Zapad, Županija je 2024. godine sklopila Ugovor o dugoročnom kreditu sa Hrvatskom bankom za obnovu i razvitak (HABOR).  U izvještajnom razdoblju 2025. godine započelo je korištenje sredstava kredita te ukup</w:t>
      </w:r>
      <w:r>
        <w:t>no korištena sredstva kredita iznose 312.995,61 eura, dok je predmetni primitak u 2024. godini izostao.</w:t>
      </w:r>
    </w:p>
    <w:p w:rsidR="006B37BA" w:rsidRDefault="006B37BA"/>
    <w:p w:rsidR="006B37BA" w:rsidRDefault="00EC285D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:rsidR="006B37BA" w:rsidRDefault="00EC285D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6B37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B37B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6B37BA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Stanje dospjelih obveza na kraju izvještajnog razdoblja </w:t>
            </w:r>
            <w:r>
              <w:rPr>
                <w:sz w:val="18"/>
              </w:rPr>
              <w:t>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156.280,28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B37BA" w:rsidRDefault="00EC28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6B37BA" w:rsidRDefault="006B37BA">
      <w:pPr>
        <w:spacing w:after="0"/>
      </w:pPr>
    </w:p>
    <w:p w:rsidR="006B37BA" w:rsidRDefault="00EC285D">
      <w:pPr>
        <w:spacing w:line="240" w:lineRule="auto"/>
        <w:jc w:val="both"/>
      </w:pPr>
      <w:r>
        <w:t xml:space="preserve">Razlog stanja dospjelih obveza na kraju izvještajnog razdoblja (šifra V007) i prekoračenja rokova plaćanja istih je zakašnjenje u dostavi kompletne financijske dokumentacije potrebne za </w:t>
      </w:r>
      <w:r>
        <w:t>izvršenje isplate prema dobavljačima.</w:t>
      </w:r>
    </w:p>
    <w:p w:rsidR="006B37BA" w:rsidRDefault="006B37BA"/>
    <w:sectPr w:rsidR="006B3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BA"/>
    <w:rsid w:val="006B37BA"/>
    <w:rsid w:val="00EC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1DBD4-67AD-4717-B1C6-36AA30FC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PGŽ</Company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Hadžić</dc:creator>
  <cp:lastModifiedBy>Jasmina Hadžić</cp:lastModifiedBy>
  <cp:revision>2</cp:revision>
  <dcterms:created xsi:type="dcterms:W3CDTF">2025-07-10T08:42:00Z</dcterms:created>
  <dcterms:modified xsi:type="dcterms:W3CDTF">2025-07-10T08:42:00Z</dcterms:modified>
</cp:coreProperties>
</file>