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2A343FC4" wp14:editId="317F1DFE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74AE604D" wp14:editId="60B171A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EE3CA9" w:rsidRPr="009B2E67" w:rsidTr="005945F9">
        <w:trPr>
          <w:gridAfter w:val="1"/>
          <w:wAfter w:w="288" w:type="dxa"/>
        </w:trPr>
        <w:tc>
          <w:tcPr>
            <w:tcW w:w="5688" w:type="dxa"/>
            <w:gridSpan w:val="2"/>
          </w:tcPr>
          <w:p w:rsidR="00EE3CA9" w:rsidRDefault="00EE3CA9" w:rsidP="005945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GOSPODARENJE </w:t>
            </w:r>
          </w:p>
          <w:p w:rsidR="00EE3CA9" w:rsidRDefault="00EE3CA9" w:rsidP="005945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IMOVINOM I OPĆE POSLOVE</w:t>
            </w:r>
          </w:p>
          <w:p w:rsidR="00EE3CA9" w:rsidRPr="00CB2482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en-US"/>
              </w:rPr>
              <w:t>P</w:t>
            </w: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ovjerenstvo za provedbu Oglasa </w:t>
            </w:r>
          </w:p>
          <w:p w:rsidR="00EE3CA9" w:rsidRPr="00CB2482" w:rsidRDefault="00EE3CA9" w:rsidP="005945F9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EE3CA9" w:rsidRPr="009B2E67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23</w:t>
      </w:r>
    </w:p>
    <w:p w:rsidR="00EE3CA9" w:rsidRPr="009B2E67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2170/1-06-02/5-19-2</w:t>
      </w:r>
      <w:r w:rsidR="00F05F81">
        <w:rPr>
          <w:rFonts w:ascii="Arial" w:hAnsi="Arial" w:cs="Arial"/>
          <w:sz w:val="24"/>
          <w:szCs w:val="24"/>
          <w:lang w:val="hr-HR"/>
        </w:rPr>
        <w:t>0</w:t>
      </w:r>
    </w:p>
    <w:p w:rsidR="00EE3CA9" w:rsidRDefault="00EE3CA9" w:rsidP="00EE3CA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14. siječnja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EE3CA9">
        <w:rPr>
          <w:rFonts w:ascii="Arial" w:hAnsi="Arial" w:cs="Arial"/>
          <w:sz w:val="24"/>
          <w:szCs w:val="24"/>
          <w:lang w:val="hr-HR"/>
        </w:rPr>
        <w:t>gospodarenje imovinom i opće poslove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Primorsko-goranske županije, na radno mjesto ''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EE3CA9">
        <w:rPr>
          <w:rFonts w:ascii="Arial" w:hAnsi="Arial" w:cs="Arial"/>
          <w:sz w:val="24"/>
          <w:szCs w:val="24"/>
          <w:lang w:val="hr-HR"/>
        </w:rPr>
        <w:t>uredsko poslovanje</w:t>
      </w:r>
      <w:r>
        <w:rPr>
          <w:rFonts w:ascii="Arial" w:hAnsi="Arial" w:cs="Arial"/>
          <w:sz w:val="24"/>
          <w:szCs w:val="24"/>
          <w:lang w:val="hr-HR"/>
        </w:rPr>
        <w:t>“, radi zamjene duže vrijeme odsutn</w:t>
      </w:r>
      <w:r w:rsidR="009B5EE1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9B5EE1">
        <w:rPr>
          <w:rFonts w:ascii="Arial" w:hAnsi="Arial" w:cs="Arial"/>
          <w:sz w:val="24"/>
          <w:szCs w:val="24"/>
          <w:lang w:val="hr-HR"/>
        </w:rPr>
        <w:t>ce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EE3CA9" w:rsidRDefault="00EE3CA9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29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siječnja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EE3CA9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</w:t>
      </w:r>
      <w:r w:rsidR="007B099F">
        <w:rPr>
          <w:rFonts w:ascii="Arial" w:hAnsi="Arial" w:cs="Arial"/>
          <w:sz w:val="24"/>
          <w:szCs w:val="24"/>
          <w:lang w:val="hr-HR"/>
        </w:rPr>
        <w:t>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7B099F">
        <w:rPr>
          <w:rFonts w:ascii="Arial" w:hAnsi="Arial" w:cs="Arial"/>
          <w:sz w:val="24"/>
          <w:szCs w:val="24"/>
          <w:lang w:val="hr-HR"/>
        </w:rPr>
        <w:t>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 za uredsko poslovanje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EE3CA9">
        <w:rPr>
          <w:rFonts w:ascii="Arial" w:hAnsi="Arial" w:cs="Arial"/>
          <w:sz w:val="24"/>
          <w:szCs w:val="24"/>
          <w:lang w:val="hr-HR"/>
        </w:rPr>
        <w:t>gospodarenje imovinom i opće poslove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EE3CA9">
        <w:rPr>
          <w:rFonts w:ascii="Arial" w:hAnsi="Arial" w:cs="Arial"/>
          <w:sz w:val="24"/>
          <w:szCs w:val="24"/>
          <w:lang w:val="hr-HR"/>
        </w:rPr>
        <w:t>21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9B233C">
        <w:rPr>
          <w:rFonts w:ascii="Arial" w:hAnsi="Arial" w:cs="Arial"/>
          <w:sz w:val="24"/>
          <w:szCs w:val="24"/>
          <w:lang w:val="hr-HR"/>
        </w:rPr>
        <w:t>prosinca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na Hrvatskom zavodu za zapošljavanje i 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EE3CA9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EE3CA9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336833">
        <w:rPr>
          <w:b/>
          <w:sz w:val="24"/>
          <w:szCs w:val="24"/>
          <w:lang w:val="hr-HR"/>
        </w:rPr>
        <w:t xml:space="preserve">               </w:t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E3CA9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336833">
        <w:rPr>
          <w:rFonts w:ascii="Arial" w:hAnsi="Arial" w:cs="Arial"/>
          <w:b/>
          <w:sz w:val="24"/>
          <w:szCs w:val="24"/>
          <w:lang w:val="hr-HR"/>
        </w:rPr>
        <w:t xml:space="preserve">          </w:t>
      </w:r>
      <w:bookmarkStart w:id="0" w:name="_GoBack"/>
      <w:bookmarkEnd w:id="0"/>
      <w:r w:rsidR="00336833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proofErr w:type="spellStart"/>
      <w:r w:rsidR="00EE3CA9">
        <w:rPr>
          <w:rFonts w:ascii="Arial" w:hAnsi="Arial" w:cs="Arial"/>
          <w:b/>
          <w:sz w:val="24"/>
          <w:szCs w:val="24"/>
          <w:lang w:val="hr-HR"/>
        </w:rPr>
        <w:t>Đeni</w:t>
      </w:r>
      <w:proofErr w:type="spellEnd"/>
      <w:r w:rsidR="00EE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EE3CA9">
        <w:rPr>
          <w:rFonts w:ascii="Arial" w:hAnsi="Arial" w:cs="Arial"/>
          <w:b/>
          <w:sz w:val="24"/>
          <w:szCs w:val="24"/>
          <w:lang w:val="hr-HR"/>
        </w:rPr>
        <w:t>Stipinović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9F" w:rsidRDefault="00634B9F" w:rsidP="003128D9">
      <w:r>
        <w:separator/>
      </w:r>
    </w:p>
  </w:endnote>
  <w:endnote w:type="continuationSeparator" w:id="0">
    <w:p w:rsidR="00634B9F" w:rsidRDefault="00634B9F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9F" w:rsidRDefault="00634B9F" w:rsidP="003128D9">
      <w:r>
        <w:separator/>
      </w:r>
    </w:p>
  </w:footnote>
  <w:footnote w:type="continuationSeparator" w:id="0">
    <w:p w:rsidR="00634B9F" w:rsidRDefault="00634B9F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D0510"/>
    <w:rsid w:val="001F174B"/>
    <w:rsid w:val="0022192A"/>
    <w:rsid w:val="00245945"/>
    <w:rsid w:val="00255E4B"/>
    <w:rsid w:val="002709B8"/>
    <w:rsid w:val="002A6BC7"/>
    <w:rsid w:val="002A6FE1"/>
    <w:rsid w:val="002F2E46"/>
    <w:rsid w:val="0031073D"/>
    <w:rsid w:val="00310779"/>
    <w:rsid w:val="003128D9"/>
    <w:rsid w:val="00336833"/>
    <w:rsid w:val="00391AF4"/>
    <w:rsid w:val="003E37D7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F5696"/>
    <w:rsid w:val="00601DB1"/>
    <w:rsid w:val="00604BF6"/>
    <w:rsid w:val="006222F3"/>
    <w:rsid w:val="00632BE3"/>
    <w:rsid w:val="00634B9F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54358"/>
    <w:rsid w:val="00877311"/>
    <w:rsid w:val="0088340E"/>
    <w:rsid w:val="008A5EAC"/>
    <w:rsid w:val="008F3557"/>
    <w:rsid w:val="009060A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C02DE3"/>
    <w:rsid w:val="00C1341E"/>
    <w:rsid w:val="00C56C86"/>
    <w:rsid w:val="00C56C8A"/>
    <w:rsid w:val="00C77A5D"/>
    <w:rsid w:val="00D16F40"/>
    <w:rsid w:val="00D537B2"/>
    <w:rsid w:val="00DB225E"/>
    <w:rsid w:val="00DB372A"/>
    <w:rsid w:val="00E03F17"/>
    <w:rsid w:val="00E46F12"/>
    <w:rsid w:val="00E57ECE"/>
    <w:rsid w:val="00E74C3D"/>
    <w:rsid w:val="00E768E2"/>
    <w:rsid w:val="00ED0122"/>
    <w:rsid w:val="00EE3CA9"/>
    <w:rsid w:val="00F05F81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64BC-996F-4567-96AC-1D0EBDA2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2018-08-16T07:23:00Z</cp:lastPrinted>
  <dcterms:created xsi:type="dcterms:W3CDTF">2019-01-14T08:04:00Z</dcterms:created>
  <dcterms:modified xsi:type="dcterms:W3CDTF">2019-01-14T08:05:00Z</dcterms:modified>
</cp:coreProperties>
</file>