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71804" w:rsidRDefault="008D6CE2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112-03/17-01/11</w:t>
      </w:r>
    </w:p>
    <w:p w:rsidR="00671804" w:rsidRDefault="00DB5176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</w:t>
      </w:r>
      <w:r w:rsidR="006D685E">
        <w:rPr>
          <w:rFonts w:ascii="Arial" w:hAnsi="Arial" w:cs="Arial"/>
        </w:rPr>
        <w:t>-3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8D6CE2">
        <w:rPr>
          <w:rFonts w:ascii="Arial" w:hAnsi="Arial" w:cs="Arial"/>
        </w:rPr>
        <w:t>07. studenoga</w:t>
      </w:r>
      <w:r w:rsidR="00DB5176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DB5176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 U UPRAVNI ODJEL</w:t>
      </w:r>
      <w:r w:rsidR="00671804"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 w:rsidR="00671804"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36136B">
        <w:rPr>
          <w:rFonts w:ascii="Arial" w:hAnsi="Arial" w:cs="Arial"/>
          <w:b/>
        </w:rPr>
        <w:t>radna mjesta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D685E">
      <w:pPr>
        <w:rPr>
          <w:rFonts w:ascii="Arial" w:hAnsi="Arial" w:cs="Arial"/>
          <w:b/>
        </w:rPr>
      </w:pPr>
    </w:p>
    <w:p w:rsidR="007B1A5F" w:rsidRPr="00657346" w:rsidRDefault="007B1A5F" w:rsidP="00657346">
      <w:pPr>
        <w:jc w:val="both"/>
        <w:rPr>
          <w:rFonts w:ascii="Arial" w:hAnsi="Arial" w:cs="Arial"/>
          <w:b/>
        </w:rPr>
      </w:pPr>
    </w:p>
    <w:p w:rsidR="00DB5176" w:rsidRDefault="008D6CE2" w:rsidP="00DB5176">
      <w:pPr>
        <w:pStyle w:val="Odlomakpopisa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VIŠI REFERENT / VIŠA REFERENTICA</w:t>
      </w:r>
      <w:r w:rsidR="00DB5176">
        <w:rPr>
          <w:rFonts w:ascii="Arial" w:hAnsi="Arial" w:cs="Arial"/>
          <w:b/>
        </w:rPr>
        <w:t xml:space="preserve"> ZA PROSTORNO UREĐENJE I GRADITELJSTVO – Ispostava u Krku: </w:t>
      </w:r>
      <w:r w:rsidR="00DB5176" w:rsidRPr="0069461A">
        <w:rPr>
          <w:rFonts w:ascii="Arial" w:hAnsi="Arial" w:cs="Arial"/>
        </w:rPr>
        <w:t>1 izvršitelj / izvršiteljica na određeno vrijeme radi zamjene duže vrijeme odsutnog službenika</w:t>
      </w:r>
    </w:p>
    <w:p w:rsidR="00DB5176" w:rsidRDefault="00DB5176" w:rsidP="00DB5176">
      <w:pPr>
        <w:jc w:val="both"/>
        <w:rPr>
          <w:rFonts w:ascii="Arial" w:hAnsi="Arial" w:cs="Arial"/>
        </w:rPr>
      </w:pPr>
    </w:p>
    <w:p w:rsidR="00DB5176" w:rsidRDefault="00DB5176" w:rsidP="00DB517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D6CE2" w:rsidRDefault="008D6CE2" w:rsidP="008D6CE2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Vodi upravne i druge predmete iz područja prostornog uređenja i gradnje. </w:t>
      </w:r>
    </w:p>
    <w:p w:rsidR="008D6CE2" w:rsidRDefault="008D6CE2" w:rsidP="008D6CE2">
      <w:pPr>
        <w:numPr>
          <w:ilvl w:val="1"/>
          <w:numId w:val="10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</w:t>
      </w:r>
      <w:r w:rsidRPr="00EC382C">
        <w:rPr>
          <w:rFonts w:ascii="Arial" w:hAnsi="Arial" w:cs="Arial"/>
          <w:sz w:val="22"/>
          <w:szCs w:val="22"/>
        </w:rPr>
        <w:t xml:space="preserve"> u izradi stručni</w:t>
      </w:r>
      <w:r>
        <w:rPr>
          <w:rFonts w:ascii="Arial" w:hAnsi="Arial" w:cs="Arial"/>
          <w:sz w:val="22"/>
          <w:szCs w:val="22"/>
        </w:rPr>
        <w:t>h materijala, izvješća i obavlja druge poslove iz djelokruga Ispostave po uputi voditelja Ispostave.</w:t>
      </w:r>
    </w:p>
    <w:p w:rsidR="008D6CE2" w:rsidRDefault="008D6CE2" w:rsidP="008D6CE2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stručnoj komunikaciji sa strankama i drugim subjektima u svrhu prikupljanja i razmjene informacija. Sudjeluje u obradi predstavki i pritužbi</w:t>
      </w:r>
      <w:r w:rsidRPr="004A3D98">
        <w:rPr>
          <w:rFonts w:ascii="Arial" w:hAnsi="Arial" w:cs="Arial"/>
          <w:sz w:val="22"/>
          <w:szCs w:val="22"/>
        </w:rPr>
        <w:t xml:space="preserve"> građana i drugih subjekata. </w:t>
      </w:r>
    </w:p>
    <w:p w:rsidR="008D6CE2" w:rsidRDefault="008D6CE2" w:rsidP="008D6CE2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stručnu literaturu, propise i pohađa edukacije iz područja prostornog uređenja i  gradnje. Daje upute strankama i projektantima u svezi provedbe dokumenata prostornog uređenja. Izrađuje</w:t>
      </w:r>
      <w:r w:rsidRPr="004A3D98">
        <w:rPr>
          <w:rFonts w:ascii="Arial" w:hAnsi="Arial" w:cs="Arial"/>
          <w:sz w:val="22"/>
          <w:szCs w:val="22"/>
        </w:rPr>
        <w:t xml:space="preserve"> izvještaje o radu i druge propisane izvještaje, odgovara za pravilnu primjenu postupaka i metoda rada te provedbu pojedinačnih odluka.</w:t>
      </w:r>
    </w:p>
    <w:p w:rsidR="008D6CE2" w:rsidRPr="004A3D98" w:rsidRDefault="008D6CE2" w:rsidP="008D6CE2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voditelj Ispostave.</w:t>
      </w:r>
    </w:p>
    <w:p w:rsidR="00DB5176" w:rsidRPr="00DB5176" w:rsidRDefault="00DB5176" w:rsidP="00DB5176">
      <w:pPr>
        <w:jc w:val="both"/>
        <w:rPr>
          <w:rFonts w:ascii="Arial" w:hAnsi="Arial" w:cs="Arial"/>
        </w:rPr>
      </w:pP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69461A" w:rsidRDefault="008D6CE2" w:rsidP="00DB5176">
      <w:pPr>
        <w:pStyle w:val="Odlomakpopisa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SAVJETNIK / SAVJETNICA</w:t>
      </w:r>
      <w:r w:rsidR="00DB5176">
        <w:rPr>
          <w:rFonts w:ascii="Arial" w:hAnsi="Arial" w:cs="Arial"/>
          <w:b/>
        </w:rPr>
        <w:t xml:space="preserve"> ZA PROSTORNO UREĐENJE I GRADITELJSTVO </w:t>
      </w:r>
      <w:r>
        <w:rPr>
          <w:rFonts w:ascii="Arial" w:hAnsi="Arial" w:cs="Arial"/>
          <w:b/>
        </w:rPr>
        <w:t>II– Ispostava u Malom Lošinju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adi zamjene duže vrijeme odsutnog službenika</w:t>
      </w:r>
    </w:p>
    <w:p w:rsidR="00657346" w:rsidRPr="00B75110" w:rsidRDefault="00657346" w:rsidP="007B1A5F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i rješava složene upravne i druge predmete iz područja prostornog uređenja i gradnje. Rješava složena pitanja iz nadležnosti Ispostave uz upute i nadzor voditelja Ispostave.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Prati stanje u upravnim  područjima iz djelokruga Ispostave,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izvješća o radu i druga propisana izvješća, odgovara za pravilnu primjenu postupaka i metoda rada te provedbu pojedinačnih odluka.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Obrađuje predstavke i pritužbe građana i drugih subjekata.</w:t>
      </w:r>
    </w:p>
    <w:p w:rsidR="008D6CE2" w:rsidRPr="00DC516C" w:rsidRDefault="008D6CE2" w:rsidP="008D6CE2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Odsjeka.</w:t>
      </w:r>
    </w:p>
    <w:p w:rsidR="008D6CE2" w:rsidRPr="00A654AC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1"/>
          <w:szCs w:val="21"/>
          <w:lang w:val="pl-PL"/>
        </w:rPr>
        <w:t>Obavlja i ostale poslove koje mu povjeri voditelj Ispostave.</w:t>
      </w:r>
    </w:p>
    <w:p w:rsidR="00AE4412" w:rsidRPr="004A3D98" w:rsidRDefault="00AE4412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="008D6CE2">
        <w:rPr>
          <w:rFonts w:ascii="Arial" w:hAnsi="Arial" w:cs="Arial"/>
        </w:rPr>
        <w:t>viši referent</w:t>
      </w:r>
      <w:r>
        <w:rPr>
          <w:rFonts w:ascii="Arial" w:hAnsi="Arial" w:cs="Arial"/>
        </w:rPr>
        <w:t xml:space="preserve"> čini umnožak koeficijenata složenosti poslov</w:t>
      </w:r>
      <w:r w:rsidR="008D6CE2">
        <w:rPr>
          <w:rFonts w:ascii="Arial" w:hAnsi="Arial" w:cs="Arial"/>
        </w:rPr>
        <w:t>a radnog mjesta koji iznosi 1,9</w:t>
      </w:r>
      <w:r w:rsidR="00AE44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8D6CE2">
        <w:rPr>
          <w:rFonts w:ascii="Arial" w:hAnsi="Arial" w:cs="Arial"/>
        </w:rPr>
        <w:t>a na radnom mjestu savjetnik II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lova radnog mjesta koji iznosi 2,4</w:t>
      </w:r>
      <w:r>
        <w:rPr>
          <w:rFonts w:ascii="Arial" w:hAnsi="Arial" w:cs="Arial"/>
        </w:rPr>
        <w:t xml:space="preserve">5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</w:t>
      </w:r>
      <w:r>
        <w:rPr>
          <w:rFonts w:ascii="Arial" w:hAnsi="Arial" w:cs="Arial"/>
        </w:rPr>
        <w:lastRenderedPageBreak/>
        <w:t xml:space="preserve">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6D685E">
        <w:rPr>
          <w:rFonts w:ascii="Arial" w:hAnsi="Arial" w:cs="Arial"/>
        </w:rPr>
        <w:t xml:space="preserve"> i 137/15 - ispravak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AE4412">
        <w:rPr>
          <w:rFonts w:ascii="Arial" w:hAnsi="Arial" w:cs="Arial"/>
        </w:rPr>
        <w:t xml:space="preserve"> i 20/17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102D65" w:rsidRPr="00102D65" w:rsidRDefault="00102D65" w:rsidP="00AE4412">
      <w:pPr>
        <w:ind w:left="426" w:hanging="14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Zakon o postupanju s nezakonito izgrađenim zgradama</w:t>
      </w:r>
      <w:r w:rsidR="00AE4412">
        <w:rPr>
          <w:rFonts w:ascii="Arial" w:hAnsi="Arial" w:cs="Arial"/>
        </w:rPr>
        <w:t xml:space="preserve"> („Narodne novine“ broj   86/12, </w:t>
      </w:r>
      <w:r>
        <w:rPr>
          <w:rFonts w:ascii="Arial" w:hAnsi="Arial" w:cs="Arial"/>
        </w:rPr>
        <w:t>143/13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613B9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13B96">
        <w:rPr>
          <w:rFonts w:ascii="Arial" w:hAnsi="Arial" w:cs="Arial"/>
          <w:b/>
        </w:rPr>
        <w:t>v.r.</w:t>
      </w:r>
      <w:r w:rsidR="008D6CE2">
        <w:rPr>
          <w:rFonts w:ascii="Arial" w:hAnsi="Arial" w:cs="Arial"/>
          <w:b/>
        </w:rPr>
        <w:t xml:space="preserve">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1C2FFC"/>
    <w:rsid w:val="0036136B"/>
    <w:rsid w:val="003C1E63"/>
    <w:rsid w:val="005C477D"/>
    <w:rsid w:val="00613B96"/>
    <w:rsid w:val="00657346"/>
    <w:rsid w:val="00671804"/>
    <w:rsid w:val="006D685E"/>
    <w:rsid w:val="007B1A5F"/>
    <w:rsid w:val="008D6CE2"/>
    <w:rsid w:val="00AE4412"/>
    <w:rsid w:val="00B760A7"/>
    <w:rsid w:val="00C522B3"/>
    <w:rsid w:val="00C54ACD"/>
    <w:rsid w:val="00C57BE6"/>
    <w:rsid w:val="00C82787"/>
    <w:rsid w:val="00C96E70"/>
    <w:rsid w:val="00DB5176"/>
    <w:rsid w:val="00E535DE"/>
    <w:rsid w:val="00EB033D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D2B1-EA95-4FC2-997F-E708128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2017-11-07T09:23:00Z</dcterms:created>
  <dcterms:modified xsi:type="dcterms:W3CDTF">2017-11-10T07:27:00Z</dcterms:modified>
</cp:coreProperties>
</file>