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6B5276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</w:t>
            </w:r>
            <w:r w:rsidR="006B5276">
              <w:rPr>
                <w:rFonts w:ascii="Arial" w:hAnsi="Arial" w:cs="Arial"/>
                <w:b/>
              </w:rPr>
              <w:t xml:space="preserve">vni odjel za proračun, </w:t>
            </w:r>
          </w:p>
          <w:p w:rsidR="007307A7" w:rsidRPr="006B5276" w:rsidRDefault="006B5276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financije i nabavu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746BF1" w:rsidRPr="00103FB6" w:rsidRDefault="006B5276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112-03</w:t>
      </w:r>
      <w:r w:rsidR="00821A4D">
        <w:rPr>
          <w:rFonts w:ascii="Arial" w:hAnsi="Arial" w:cs="Arial"/>
        </w:rPr>
        <w:t>/17</w:t>
      </w:r>
      <w:r w:rsidR="00746BF1" w:rsidRPr="00103FB6">
        <w:rPr>
          <w:rFonts w:ascii="Arial" w:hAnsi="Arial" w:cs="Arial"/>
        </w:rPr>
        <w:t>-01/</w:t>
      </w:r>
      <w:r>
        <w:rPr>
          <w:rFonts w:ascii="Arial" w:hAnsi="Arial" w:cs="Arial"/>
        </w:rPr>
        <w:t>1</w:t>
      </w:r>
    </w:p>
    <w:p w:rsidR="00746BF1" w:rsidRPr="00A62751" w:rsidRDefault="004E7FC3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821A4D">
        <w:rPr>
          <w:rFonts w:ascii="Arial" w:hAnsi="Arial" w:cs="Arial"/>
        </w:rPr>
        <w:t>2170/1-06-02/2-17</w:t>
      </w:r>
      <w:r w:rsidR="005C1126">
        <w:rPr>
          <w:rFonts w:ascii="Arial" w:hAnsi="Arial" w:cs="Arial"/>
        </w:rPr>
        <w:t>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Pr="00712D76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821A4D">
        <w:rPr>
          <w:rFonts w:ascii="Arial" w:hAnsi="Arial" w:cs="Arial"/>
        </w:rPr>
        <w:t>14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821A4D">
        <w:rPr>
          <w:rFonts w:ascii="Arial" w:hAnsi="Arial" w:cs="Arial"/>
        </w:rPr>
        <w:t>ožujka 2017</w:t>
      </w:r>
      <w:r w:rsidRPr="00A62751">
        <w:rPr>
          <w:rFonts w:ascii="Arial" w:hAnsi="Arial" w:cs="Arial"/>
        </w:rPr>
        <w:t>.</w:t>
      </w:r>
    </w:p>
    <w:p w:rsidR="003E4656" w:rsidRDefault="003E4656" w:rsidP="00746BF1"/>
    <w:p w:rsidR="00161948" w:rsidRDefault="00161948" w:rsidP="00746BF1"/>
    <w:p w:rsidR="00746BF1" w:rsidRDefault="006B5276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746BF1">
        <w:rPr>
          <w:rFonts w:ascii="Arial" w:hAnsi="Arial" w:cs="Arial"/>
        </w:rPr>
        <w:t xml:space="preserve"> Upravn</w:t>
      </w:r>
      <w:r>
        <w:rPr>
          <w:rFonts w:ascii="Arial" w:hAnsi="Arial" w:cs="Arial"/>
        </w:rPr>
        <w:t>og odjela za proračun, financije i nabavu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746BF1">
        <w:rPr>
          <w:rFonts w:ascii="Arial" w:hAnsi="Arial" w:cs="Arial"/>
        </w:rPr>
        <w:t xml:space="preserve"> i 61/11), </w:t>
      </w:r>
      <w:r w:rsidR="00746BF1" w:rsidRPr="00AC6738">
        <w:rPr>
          <w:rFonts w:ascii="Arial" w:hAnsi="Arial" w:cs="Arial"/>
        </w:rPr>
        <w:t>objavljuje slijedeće</w:t>
      </w:r>
    </w:p>
    <w:p w:rsidR="00161948" w:rsidRDefault="00161948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6B527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6B5276" w:rsidRDefault="007307A7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6B5276">
        <w:rPr>
          <w:rFonts w:ascii="Arial" w:hAnsi="Arial" w:cs="Arial"/>
          <w:b/>
        </w:rPr>
        <w:t>VNI ODJEL ZA PRORAČUN, FINANCIJE I NABAVU</w:t>
      </w:r>
    </w:p>
    <w:p w:rsidR="00746BF1" w:rsidRDefault="007307A7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6B5276" w:rsidP="009664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6B5276" w:rsidRPr="00FA73C5" w:rsidRDefault="00BD6FAA" w:rsidP="006B5276">
      <w:pPr>
        <w:ind w:firstLine="708"/>
        <w:jc w:val="both"/>
        <w:rPr>
          <w:rFonts w:ascii="Arial" w:hAnsi="Arial" w:cs="Arial"/>
          <w:b/>
        </w:rPr>
      </w:pPr>
      <w:r w:rsidRPr="0096647F">
        <w:rPr>
          <w:rFonts w:ascii="Arial" w:hAnsi="Arial" w:cs="Arial"/>
          <w:b/>
        </w:rPr>
        <w:t>VIŠI STRUČNI SURADNIK / VIŠA STRUČNA S</w:t>
      </w:r>
      <w:r w:rsidR="006B5276">
        <w:rPr>
          <w:rFonts w:ascii="Arial" w:hAnsi="Arial" w:cs="Arial"/>
          <w:b/>
        </w:rPr>
        <w:t>URADNICA ZA RAČUNOVODSTVO, 1 izvršitelj / izvršitel</w:t>
      </w:r>
      <w:r w:rsidR="00821A4D">
        <w:rPr>
          <w:rFonts w:ascii="Arial" w:hAnsi="Arial" w:cs="Arial"/>
          <w:b/>
        </w:rPr>
        <w:t>jica na određeno vrijeme radi zamjene duže vrijeme odsutne službenice</w:t>
      </w:r>
    </w:p>
    <w:p w:rsidR="00161948" w:rsidRPr="006B5276" w:rsidRDefault="00161948" w:rsidP="006B5276">
      <w:pPr>
        <w:pStyle w:val="Odlomakpopisa"/>
        <w:ind w:left="567"/>
        <w:jc w:val="both"/>
        <w:rPr>
          <w:rFonts w:ascii="Arial" w:hAnsi="Arial" w:cs="Arial"/>
          <w:b/>
        </w:rPr>
      </w:pPr>
    </w:p>
    <w:p w:rsidR="0096647F" w:rsidRPr="0096647F" w:rsidRDefault="00746BF1" w:rsidP="0096647F">
      <w:pPr>
        <w:pStyle w:val="Odlomakpopisa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96647F">
        <w:rPr>
          <w:rFonts w:ascii="Arial" w:hAnsi="Arial" w:cs="Arial"/>
          <w:b/>
        </w:rPr>
        <w:t>OPIS POSLOVA radn</w:t>
      </w:r>
      <w:r w:rsidR="00BD6FAA" w:rsidRPr="0096647F">
        <w:rPr>
          <w:rFonts w:ascii="Arial" w:hAnsi="Arial" w:cs="Arial"/>
          <w:b/>
        </w:rPr>
        <w:t>og mjesta „Viši stručni suradnik / Viša stručna s</w:t>
      </w:r>
      <w:r w:rsidR="006B5276">
        <w:rPr>
          <w:rFonts w:ascii="Arial" w:hAnsi="Arial" w:cs="Arial"/>
          <w:b/>
        </w:rPr>
        <w:t>uradnica za računovodstvo</w:t>
      </w:r>
      <w:r w:rsidRPr="0096647F">
        <w:rPr>
          <w:rFonts w:ascii="Arial" w:hAnsi="Arial" w:cs="Arial"/>
          <w:b/>
        </w:rPr>
        <w:t xml:space="preserve">“: </w:t>
      </w:r>
    </w:p>
    <w:p w:rsidR="0096647F" w:rsidRPr="006B5276" w:rsidRDefault="0096647F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 w:rsidRPr="0096647F">
        <w:rPr>
          <w:rFonts w:ascii="Arial" w:hAnsi="Arial" w:cs="Arial"/>
          <w:b/>
          <w:sz w:val="22"/>
          <w:szCs w:val="22"/>
        </w:rPr>
        <w:t xml:space="preserve"> </w:t>
      </w:r>
      <w:r w:rsidR="006B5276">
        <w:rPr>
          <w:rFonts w:ascii="Arial" w:hAnsi="Arial" w:cs="Arial"/>
          <w:sz w:val="22"/>
          <w:szCs w:val="22"/>
        </w:rPr>
        <w:t>Kontrolira ispravnost ispostavljenih naloga za plaćanje, njihovu usklađenost s planiranom visinom i namjenom proračunskih sredstava, te sa stvorenim ugovornim obvezama</w:t>
      </w:r>
    </w:p>
    <w:p w:rsidR="006B5276" w:rsidRPr="006B5276" w:rsidRDefault="006B527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vođenju evidencije o stvorenim obvezama po sklopljenim ugovorima, donesenim zaključcima i odlukama, te prati pojedinačne realizacije istih</w:t>
      </w:r>
    </w:p>
    <w:p w:rsidR="006B5276" w:rsidRPr="006B5276" w:rsidRDefault="006B527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izvršavanje sredstava raspoređenih za financiranje javnih potreba u obrazovanju, kulturi, sportu i tehničkoj kulturi te zdravstvu i socijalnoj skrbi</w:t>
      </w:r>
    </w:p>
    <w:p w:rsidR="006B5276" w:rsidRPr="006B5276" w:rsidRDefault="006B527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evidenciju o izvršavanju sredstava raspoređenih za financiranje pojedinih zdravstvenih ustanova, te sredstava namijenjenih ulaganjima u uređenje objekata u kulturi, sportu i obrazovanju, sukladno planskim dokumentima</w:t>
      </w:r>
    </w:p>
    <w:p w:rsidR="006B5276" w:rsidRPr="006B5276" w:rsidRDefault="006B527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pripremi i izradi dokumentacijsko-računovodstvenih podloga i financijskih izvještaja</w:t>
      </w:r>
    </w:p>
    <w:p w:rsidR="006B5276" w:rsidRPr="00DA26C1" w:rsidRDefault="006B5276" w:rsidP="00DA26C1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Sudjeluje </w:t>
      </w:r>
      <w:r w:rsidR="00821A4D">
        <w:rPr>
          <w:rFonts w:ascii="Arial" w:hAnsi="Arial" w:cs="Arial"/>
          <w:sz w:val="22"/>
          <w:szCs w:val="22"/>
        </w:rPr>
        <w:t>u</w:t>
      </w:r>
      <w:r w:rsidR="00DA26C1">
        <w:rPr>
          <w:rFonts w:ascii="Arial" w:hAnsi="Arial" w:cs="Arial"/>
          <w:sz w:val="22"/>
          <w:szCs w:val="22"/>
        </w:rPr>
        <w:t xml:space="preserve"> unapređenju računovodstvenog</w:t>
      </w:r>
      <w:r>
        <w:rPr>
          <w:rFonts w:ascii="Arial" w:hAnsi="Arial" w:cs="Arial"/>
          <w:sz w:val="22"/>
          <w:szCs w:val="22"/>
        </w:rPr>
        <w:t xml:space="preserve"> informacijskog sustava u smisl</w:t>
      </w:r>
      <w:r w:rsidR="00DA26C1">
        <w:rPr>
          <w:rFonts w:ascii="Arial" w:hAnsi="Arial" w:cs="Arial"/>
          <w:sz w:val="22"/>
          <w:szCs w:val="22"/>
        </w:rPr>
        <w:t>u stvaranja i ko</w:t>
      </w:r>
      <w:r>
        <w:rPr>
          <w:rFonts w:ascii="Arial" w:hAnsi="Arial" w:cs="Arial"/>
          <w:sz w:val="22"/>
          <w:szCs w:val="22"/>
        </w:rPr>
        <w:t>rištenja informacija upravljačkog računovodstva</w:t>
      </w:r>
      <w:r w:rsidR="00DA26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računovodstva troškova kao podloge za praćenje ekonomičnosti, djelotvornosti i učinkovitosti poslovanja</w:t>
      </w:r>
    </w:p>
    <w:p w:rsidR="00BD6FAA" w:rsidRDefault="00DA26C1" w:rsidP="0096647F">
      <w:pPr>
        <w:numPr>
          <w:ilvl w:val="0"/>
          <w:numId w:val="6"/>
        </w:numPr>
        <w:tabs>
          <w:tab w:val="clear" w:pos="1065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96647F" w:rsidRPr="0096647F">
        <w:rPr>
          <w:rFonts w:ascii="Arial" w:hAnsi="Arial"/>
          <w:sz w:val="22"/>
          <w:szCs w:val="22"/>
        </w:rPr>
        <w:t>Obavlja i ostale p</w:t>
      </w:r>
      <w:r>
        <w:rPr>
          <w:rFonts w:ascii="Arial" w:hAnsi="Arial"/>
          <w:sz w:val="22"/>
          <w:szCs w:val="22"/>
        </w:rPr>
        <w:t xml:space="preserve">oslove koje mu povjeri voditelj </w:t>
      </w:r>
      <w:proofErr w:type="spellStart"/>
      <w:r>
        <w:rPr>
          <w:rFonts w:ascii="Arial" w:hAnsi="Arial"/>
          <w:sz w:val="22"/>
          <w:szCs w:val="22"/>
        </w:rPr>
        <w:t>Pododsjeka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DA65BA" w:rsidRDefault="00DA65BA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DA65BA" w:rsidRDefault="00DA65BA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821A4D" w:rsidRDefault="00821A4D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746BF1" w:rsidRDefault="00746BF1" w:rsidP="00DA26C1">
      <w:pPr>
        <w:overflowPunct w:val="0"/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II. </w:t>
      </w:r>
      <w:r w:rsidRPr="00C10B08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 višeg stručnog suradnika</w:t>
      </w:r>
      <w:r w:rsidRPr="00AC6738">
        <w:rPr>
          <w:rFonts w:ascii="Arial" w:hAnsi="Arial" w:cs="Arial"/>
        </w:rPr>
        <w:t xml:space="preserve"> 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AC6738">
        <w:rPr>
          <w:rFonts w:ascii="Arial" w:hAnsi="Arial" w:cs="Arial"/>
          <w:b/>
        </w:rPr>
        <w:t>. NAČIN OBAVLJANJA PRETHODNE PROVJERE ZNANJA I SPOSO</w:t>
      </w:r>
      <w:r>
        <w:rPr>
          <w:rFonts w:ascii="Arial" w:hAnsi="Arial" w:cs="Arial"/>
          <w:b/>
        </w:rPr>
        <w:t>BNOSTI KANDIDATA / KANDIDATKINJA</w:t>
      </w:r>
      <w:r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</w:t>
      </w:r>
      <w:r w:rsidR="00DA26C1">
        <w:rPr>
          <w:rFonts w:ascii="Arial" w:hAnsi="Arial" w:cs="Arial"/>
        </w:rPr>
        <w:t>javaju formalne uvjete oglasa</w:t>
      </w:r>
      <w:r w:rsidRPr="00AC6738">
        <w:rPr>
          <w:rFonts w:ascii="Arial" w:hAnsi="Arial" w:cs="Arial"/>
        </w:rPr>
        <w:t xml:space="preserve">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170BEC">
        <w:rPr>
          <w:rFonts w:ascii="Arial" w:hAnsi="Arial" w:cs="Arial"/>
        </w:rPr>
        <w:t xml:space="preserve"> Upravnog odjela za</w:t>
      </w:r>
      <w:r w:rsidR="00DA26C1">
        <w:rPr>
          <w:rFonts w:ascii="Arial" w:hAnsi="Arial" w:cs="Arial"/>
        </w:rPr>
        <w:t xml:space="preserve"> proračun, financije i nabavu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8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na oglasnoj ploči Upravno</w:t>
      </w:r>
      <w:r w:rsidR="00DA26C1">
        <w:rPr>
          <w:rFonts w:ascii="Arial" w:hAnsi="Arial" w:cs="Arial"/>
        </w:rPr>
        <w:t>g odjela za proračun, financije i nabavu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DA26C1">
        <w:rPr>
          <w:rFonts w:ascii="Arial" w:hAnsi="Arial" w:cs="Arial"/>
        </w:rPr>
        <w:t xml:space="preserve">Rijeka, </w:t>
      </w:r>
      <w:proofErr w:type="spellStart"/>
      <w:r w:rsidR="00DA26C1">
        <w:rPr>
          <w:rFonts w:ascii="Arial" w:hAnsi="Arial" w:cs="Arial"/>
        </w:rPr>
        <w:t>Slogin</w:t>
      </w:r>
      <w:proofErr w:type="spellEnd"/>
      <w:r w:rsidR="00DA26C1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E2218B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E2218B">
        <w:rPr>
          <w:rFonts w:ascii="Arial" w:hAnsi="Arial" w:cs="Arial"/>
        </w:rPr>
        <w:t xml:space="preserve"> i 94/16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9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0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DA65BA" w:rsidRPr="00555FA3" w:rsidRDefault="00DA65BA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DA26C1" w:rsidRPr="00821A4D" w:rsidRDefault="00746BF1" w:rsidP="00821A4D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E2D97"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DA26C1" w:rsidRPr="00A13F6A" w:rsidRDefault="00DA26C1" w:rsidP="00A13F6A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Fonts w:ascii="Arial" w:hAnsi="Arial" w:cs="Arial"/>
          <w:iCs/>
          <w:color w:val="000000"/>
        </w:rPr>
      </w:pPr>
      <w:r w:rsidRPr="007C5230">
        <w:rPr>
          <w:rStyle w:val="Istaknuto"/>
          <w:rFonts w:ascii="Arial" w:hAnsi="Arial" w:cs="Arial"/>
          <w:i w:val="0"/>
          <w:color w:val="000000"/>
        </w:rPr>
        <w:t>Zakon</w:t>
      </w:r>
      <w:r>
        <w:rPr>
          <w:rStyle w:val="Istaknuto"/>
          <w:rFonts w:ascii="Arial" w:hAnsi="Arial" w:cs="Arial"/>
          <w:i w:val="0"/>
          <w:color w:val="000000"/>
        </w:rPr>
        <w:t xml:space="preserve"> o financiranju jedinica lokalne i područne (regionalne) samouprave („Narodne novine“ broj 117/9</w:t>
      </w:r>
      <w:r w:rsidRPr="007C5230">
        <w:rPr>
          <w:rStyle w:val="Istaknuto"/>
          <w:rFonts w:ascii="Arial" w:hAnsi="Arial" w:cs="Arial"/>
          <w:i w:val="0"/>
          <w:color w:val="000000"/>
        </w:rPr>
        <w:t>3</w:t>
      </w:r>
      <w:r>
        <w:rPr>
          <w:rStyle w:val="Istaknuto"/>
          <w:rFonts w:ascii="Arial" w:hAnsi="Arial" w:cs="Arial"/>
          <w:i w:val="0"/>
          <w:color w:val="000000"/>
        </w:rPr>
        <w:t>, 69/97, 33/00, 73/00, 127/00, 59/01, 107/01, 117/01, 150/02, 147/03, 132/06,</w:t>
      </w:r>
      <w:r w:rsidR="00821A4D">
        <w:rPr>
          <w:rStyle w:val="Istaknuto"/>
          <w:rFonts w:ascii="Arial" w:hAnsi="Arial" w:cs="Arial"/>
          <w:i w:val="0"/>
          <w:color w:val="000000"/>
        </w:rPr>
        <w:t xml:space="preserve"> 26/07, 73/08, 25/12, 147/14, </w:t>
      </w:r>
      <w:r>
        <w:rPr>
          <w:rStyle w:val="Istaknuto"/>
          <w:rFonts w:ascii="Arial" w:hAnsi="Arial" w:cs="Arial"/>
          <w:i w:val="0"/>
          <w:color w:val="000000"/>
        </w:rPr>
        <w:t>100/15</w:t>
      </w:r>
      <w:r w:rsidR="00821A4D">
        <w:rPr>
          <w:rStyle w:val="Istaknuto"/>
          <w:rFonts w:ascii="Arial" w:hAnsi="Arial" w:cs="Arial"/>
          <w:i w:val="0"/>
          <w:color w:val="000000"/>
        </w:rPr>
        <w:t xml:space="preserve"> i 115/16</w:t>
      </w:r>
      <w:r w:rsidRPr="007C5230">
        <w:rPr>
          <w:rStyle w:val="Istaknuto"/>
          <w:rFonts w:ascii="Arial" w:hAnsi="Arial" w:cs="Arial"/>
          <w:i w:val="0"/>
          <w:color w:val="000000"/>
        </w:rPr>
        <w:t>)</w:t>
      </w:r>
    </w:p>
    <w:p w:rsidR="00746BF1" w:rsidRPr="007C5230" w:rsidRDefault="00170BEC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Fonts w:ascii="Arial" w:hAnsi="Arial" w:cs="Arial"/>
        </w:rPr>
        <w:t xml:space="preserve">Zakon o </w:t>
      </w:r>
      <w:r w:rsidR="00DA65BA">
        <w:rPr>
          <w:rFonts w:ascii="Arial" w:hAnsi="Arial" w:cs="Arial"/>
        </w:rPr>
        <w:t>proračunu</w:t>
      </w:r>
      <w:r w:rsidR="007C5230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(„Narodne novine“ b</w:t>
      </w:r>
      <w:r w:rsidR="00DA65BA">
        <w:rPr>
          <w:rFonts w:ascii="Arial" w:hAnsi="Arial" w:cs="Arial"/>
        </w:rPr>
        <w:t>roj 87/08</w:t>
      </w:r>
      <w:r w:rsidR="007C5230">
        <w:rPr>
          <w:rFonts w:ascii="Arial" w:hAnsi="Arial" w:cs="Arial"/>
        </w:rPr>
        <w:t xml:space="preserve">, </w:t>
      </w:r>
      <w:r w:rsidR="00DA65BA">
        <w:rPr>
          <w:rFonts w:ascii="Arial" w:hAnsi="Arial" w:cs="Arial"/>
        </w:rPr>
        <w:t>136/12 i 15</w:t>
      </w:r>
      <w:r w:rsidR="007C5230">
        <w:rPr>
          <w:rFonts w:ascii="Arial" w:hAnsi="Arial" w:cs="Arial"/>
        </w:rPr>
        <w:t>/</w:t>
      </w:r>
      <w:proofErr w:type="spellStart"/>
      <w:r w:rsidR="007C5230">
        <w:rPr>
          <w:rFonts w:ascii="Arial" w:hAnsi="Arial" w:cs="Arial"/>
        </w:rPr>
        <w:t>15</w:t>
      </w:r>
      <w:proofErr w:type="spellEnd"/>
      <w:r w:rsidR="00746BF1" w:rsidRPr="00930E22">
        <w:rPr>
          <w:rStyle w:val="Istaknuto"/>
          <w:rFonts w:ascii="Arial" w:hAnsi="Arial" w:cs="Arial"/>
          <w:color w:val="000000"/>
        </w:rPr>
        <w:t>)</w:t>
      </w:r>
    </w:p>
    <w:p w:rsidR="007C5230" w:rsidRPr="007C5230" w:rsidRDefault="00DA65BA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 xml:space="preserve">Pravilnik o proračunskom računovodstvu i računskom planu </w:t>
      </w:r>
      <w:r w:rsidR="00821A4D">
        <w:rPr>
          <w:rStyle w:val="Istaknuto"/>
          <w:rFonts w:ascii="Arial" w:hAnsi="Arial" w:cs="Arial"/>
          <w:i w:val="0"/>
          <w:color w:val="000000"/>
        </w:rPr>
        <w:t xml:space="preserve">(„Narodne novine“ broj 124/14, </w:t>
      </w:r>
      <w:r>
        <w:rPr>
          <w:rStyle w:val="Istaknuto"/>
          <w:rFonts w:ascii="Arial" w:hAnsi="Arial" w:cs="Arial"/>
          <w:i w:val="0"/>
          <w:color w:val="000000"/>
        </w:rPr>
        <w:t>115/15</w:t>
      </w:r>
      <w:r w:rsidR="00821A4D">
        <w:rPr>
          <w:rStyle w:val="Istaknuto"/>
          <w:rFonts w:ascii="Arial" w:hAnsi="Arial" w:cs="Arial"/>
          <w:i w:val="0"/>
          <w:color w:val="000000"/>
        </w:rPr>
        <w:t xml:space="preserve"> i 87/16</w:t>
      </w:r>
      <w:r w:rsidR="007C5230" w:rsidRPr="007C5230">
        <w:rPr>
          <w:rStyle w:val="Istaknuto"/>
          <w:rFonts w:ascii="Arial" w:hAnsi="Arial" w:cs="Arial"/>
          <w:i w:val="0"/>
          <w:color w:val="000000"/>
        </w:rPr>
        <w:t>)</w:t>
      </w:r>
    </w:p>
    <w:p w:rsidR="00DA65BA" w:rsidRDefault="00DA26C1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Pravilnik o financijskom izvještavanju u proračunskom računovodstvu</w:t>
      </w:r>
      <w:r w:rsidR="00DA65BA">
        <w:rPr>
          <w:rStyle w:val="Istaknuto"/>
          <w:rFonts w:ascii="Arial" w:hAnsi="Arial" w:cs="Arial"/>
          <w:i w:val="0"/>
          <w:color w:val="000000"/>
        </w:rPr>
        <w:t xml:space="preserve"> („Narodne no</w:t>
      </w:r>
      <w:r w:rsidR="00821A4D">
        <w:rPr>
          <w:rStyle w:val="Istaknuto"/>
          <w:rFonts w:ascii="Arial" w:hAnsi="Arial" w:cs="Arial"/>
          <w:i w:val="0"/>
          <w:color w:val="000000"/>
        </w:rPr>
        <w:t>vine“ broj 3/15, 93/15,</w:t>
      </w:r>
      <w:r>
        <w:rPr>
          <w:rStyle w:val="Istaknuto"/>
          <w:rFonts w:ascii="Arial" w:hAnsi="Arial" w:cs="Arial"/>
          <w:i w:val="0"/>
          <w:color w:val="000000"/>
        </w:rPr>
        <w:t xml:space="preserve"> 135/15</w:t>
      </w:r>
      <w:r w:rsidR="00821A4D">
        <w:rPr>
          <w:rStyle w:val="Istaknuto"/>
          <w:rFonts w:ascii="Arial" w:hAnsi="Arial" w:cs="Arial"/>
          <w:i w:val="0"/>
          <w:color w:val="000000"/>
        </w:rPr>
        <w:t xml:space="preserve"> i 2/17</w:t>
      </w:r>
      <w:r w:rsidR="00DA65BA">
        <w:rPr>
          <w:rStyle w:val="Istaknuto"/>
          <w:rFonts w:ascii="Arial" w:hAnsi="Arial" w:cs="Arial"/>
          <w:i w:val="0"/>
          <w:color w:val="000000"/>
        </w:rPr>
        <w:t>)</w:t>
      </w:r>
    </w:p>
    <w:p w:rsidR="00B863A9" w:rsidRPr="00DA26C1" w:rsidRDefault="00B863A9" w:rsidP="00A13F6A">
      <w:pPr>
        <w:jc w:val="both"/>
        <w:rPr>
          <w:rStyle w:val="Istaknuto"/>
          <w:rFonts w:ascii="Arial" w:hAnsi="Arial" w:cs="Arial"/>
          <w:i w:val="0"/>
          <w:color w:val="000000"/>
        </w:rPr>
      </w:pPr>
    </w:p>
    <w:p w:rsidR="00746BF1" w:rsidRPr="007C5230" w:rsidRDefault="00746BF1" w:rsidP="00746BF1">
      <w:pPr>
        <w:ind w:left="708"/>
        <w:jc w:val="both"/>
        <w:rPr>
          <w:rFonts w:ascii="Arial" w:hAnsi="Arial" w:cs="Arial"/>
          <w:b/>
        </w:rPr>
      </w:pPr>
    </w:p>
    <w:p w:rsidR="00746BF1" w:rsidRPr="007C5230" w:rsidRDefault="00746BF1" w:rsidP="00746BF1">
      <w:pPr>
        <w:ind w:left="180" w:hanging="180"/>
        <w:rPr>
          <w:rFonts w:ascii="Arial" w:hAnsi="Arial" w:cs="Arial"/>
          <w:color w:val="000000"/>
          <w:sz w:val="22"/>
          <w:szCs w:val="22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Pr="00A64158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ind w:left="504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</w:rPr>
        <w:t xml:space="preserve"> </w:t>
      </w:r>
      <w:r w:rsidR="003E4656">
        <w:rPr>
          <w:rFonts w:ascii="Arial" w:hAnsi="Arial" w:cs="Arial"/>
          <w:b/>
        </w:rPr>
        <w:t xml:space="preserve">   </w:t>
      </w:r>
      <w:r w:rsidR="00DA26C1">
        <w:rPr>
          <w:rFonts w:ascii="Arial" w:hAnsi="Arial" w:cs="Arial"/>
          <w:b/>
        </w:rPr>
        <w:t xml:space="preserve">                       </w:t>
      </w:r>
      <w:r w:rsidR="00553E8D">
        <w:rPr>
          <w:rFonts w:ascii="Arial" w:hAnsi="Arial" w:cs="Arial"/>
          <w:b/>
        </w:rPr>
        <w:t xml:space="preserve"> </w:t>
      </w:r>
      <w:r w:rsidR="00DA26C1">
        <w:rPr>
          <w:rFonts w:ascii="Arial" w:hAnsi="Arial" w:cs="Arial"/>
          <w:b/>
        </w:rPr>
        <w:t xml:space="preserve">  </w:t>
      </w:r>
      <w:r w:rsidR="00DA26C1">
        <w:rPr>
          <w:rFonts w:ascii="Arial" w:hAnsi="Arial" w:cs="Arial"/>
          <w:b/>
          <w:bCs/>
          <w:lang w:val="pt-BR"/>
        </w:rPr>
        <w:t>P r o č e l n i k</w:t>
      </w:r>
    </w:p>
    <w:p w:rsidR="00746BF1" w:rsidRPr="006F7948" w:rsidRDefault="00746BF1" w:rsidP="00746BF1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BR"/>
        </w:rPr>
        <w:tab/>
        <w:t xml:space="preserve">         </w:t>
      </w:r>
    </w:p>
    <w:p w:rsidR="00746BF1" w:rsidRPr="000B213D" w:rsidRDefault="00974A07" w:rsidP="00746BF1">
      <w:pPr>
        <w:ind w:firstLine="70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  <w:t xml:space="preserve">      </w:t>
      </w:r>
      <w:r w:rsidR="00DA26C1">
        <w:rPr>
          <w:rFonts w:ascii="Arial" w:hAnsi="Arial" w:cs="Arial"/>
          <w:b/>
          <w:bCs/>
          <w:lang w:val="pt-BR"/>
        </w:rPr>
        <w:t xml:space="preserve">                                            </w:t>
      </w:r>
      <w:bookmarkStart w:id="0" w:name="_GoBack"/>
      <w:bookmarkEnd w:id="0"/>
      <w:r w:rsidR="00353606">
        <w:rPr>
          <w:rFonts w:ascii="Arial" w:hAnsi="Arial" w:cs="Arial"/>
          <w:b/>
          <w:bCs/>
          <w:lang w:val="pt-BR"/>
        </w:rPr>
        <w:t>v.r.</w:t>
      </w:r>
      <w:r w:rsidR="00821A4D">
        <w:rPr>
          <w:rFonts w:ascii="Arial" w:hAnsi="Arial" w:cs="Arial"/>
          <w:b/>
          <w:bCs/>
          <w:lang w:val="pt-BR"/>
        </w:rPr>
        <w:t xml:space="preserve"> </w:t>
      </w:r>
      <w:r w:rsidR="00DA26C1">
        <w:rPr>
          <w:rFonts w:ascii="Arial" w:hAnsi="Arial" w:cs="Arial"/>
          <w:b/>
          <w:bCs/>
          <w:lang w:val="pt-BR"/>
        </w:rPr>
        <w:t>Krešimir Parat, dipl.oec.</w:t>
      </w:r>
    </w:p>
    <w:p w:rsidR="00746BF1" w:rsidRDefault="00746BF1" w:rsidP="00746BF1"/>
    <w:p w:rsidR="00746BF1" w:rsidRDefault="00746BF1" w:rsidP="00746BF1"/>
    <w:p w:rsidR="00746BF1" w:rsidRDefault="00746BF1" w:rsidP="00746BF1"/>
    <w:p w:rsidR="00421F0D" w:rsidRDefault="00421F0D"/>
    <w:sectPr w:rsidR="00421F0D" w:rsidSect="003E4656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A1692"/>
    <w:rsid w:val="00161948"/>
    <w:rsid w:val="00170BEC"/>
    <w:rsid w:val="00284E7E"/>
    <w:rsid w:val="00302359"/>
    <w:rsid w:val="0035143E"/>
    <w:rsid w:val="00353606"/>
    <w:rsid w:val="003E4656"/>
    <w:rsid w:val="00421F0D"/>
    <w:rsid w:val="00425F02"/>
    <w:rsid w:val="004E7FC3"/>
    <w:rsid w:val="00553E8D"/>
    <w:rsid w:val="005C1126"/>
    <w:rsid w:val="005F41AF"/>
    <w:rsid w:val="006B5276"/>
    <w:rsid w:val="006D0AC9"/>
    <w:rsid w:val="0072710C"/>
    <w:rsid w:val="007307A7"/>
    <w:rsid w:val="0074031D"/>
    <w:rsid w:val="00746BF1"/>
    <w:rsid w:val="007C5230"/>
    <w:rsid w:val="00821A4D"/>
    <w:rsid w:val="00953321"/>
    <w:rsid w:val="0096647F"/>
    <w:rsid w:val="00974A07"/>
    <w:rsid w:val="00A13F6A"/>
    <w:rsid w:val="00A87912"/>
    <w:rsid w:val="00B47D88"/>
    <w:rsid w:val="00B762CC"/>
    <w:rsid w:val="00B863A9"/>
    <w:rsid w:val="00BD6FAA"/>
    <w:rsid w:val="00DA26C1"/>
    <w:rsid w:val="00DA65BA"/>
    <w:rsid w:val="00E2218B"/>
    <w:rsid w:val="00F723B4"/>
    <w:rsid w:val="00F76307"/>
    <w:rsid w:val="00F97C6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7</cp:revision>
  <cp:lastPrinted>2016-05-10T09:55:00Z</cp:lastPrinted>
  <dcterms:created xsi:type="dcterms:W3CDTF">2017-03-14T07:39:00Z</dcterms:created>
  <dcterms:modified xsi:type="dcterms:W3CDTF">2017-03-16T07:51:00Z</dcterms:modified>
</cp:coreProperties>
</file>