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00"/>
      </w:tblPr>
      <w:tblGrid>
        <w:gridCol w:w="288"/>
        <w:gridCol w:w="5400"/>
        <w:gridCol w:w="288"/>
      </w:tblGrid>
      <w:tr w:rsidR="00121A3F" w:rsidRPr="00AF7355" w:rsidTr="000C1A3A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121A3F" w:rsidRPr="00AF7355" w:rsidRDefault="00121A3F" w:rsidP="000C1A3A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>
              <w:rPr>
                <w:rFonts w:ascii="Arial" w:hAnsi="Arial" w:cs="Arial"/>
                <w:b/>
                <w:noProof/>
                <w:lang w:eastAsia="zh-CN"/>
              </w:rPr>
              <w:drawing>
                <wp:inline distT="0" distB="0" distL="0" distR="0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A3F" w:rsidRPr="00AF7355" w:rsidTr="000C1A3A">
        <w:trPr>
          <w:gridAfter w:val="1"/>
          <w:wAfter w:w="108" w:type="dxa"/>
        </w:trPr>
        <w:tc>
          <w:tcPr>
            <w:tcW w:w="5688" w:type="dxa"/>
            <w:gridSpan w:val="2"/>
          </w:tcPr>
          <w:p w:rsidR="00121A3F" w:rsidRPr="00AF7355" w:rsidRDefault="00121A3F" w:rsidP="000C1A3A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121A3F" w:rsidRPr="00AF7355" w:rsidTr="000C1A3A">
        <w:trPr>
          <w:gridAfter w:val="1"/>
          <w:wAfter w:w="108" w:type="dxa"/>
        </w:trPr>
        <w:tc>
          <w:tcPr>
            <w:tcW w:w="5688" w:type="dxa"/>
            <w:gridSpan w:val="2"/>
          </w:tcPr>
          <w:p w:rsidR="00121A3F" w:rsidRDefault="00121A3F" w:rsidP="000C1A3A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AF7355">
              <w:rPr>
                <w:rFonts w:ascii="Arial" w:hAnsi="Arial" w:cs="Arial"/>
              </w:rPr>
              <w:t xml:space="preserve">PRIMORSKO-GORANSKA </w:t>
            </w:r>
            <w:r>
              <w:rPr>
                <w:rFonts w:ascii="Arial" w:hAnsi="Arial" w:cs="Arial"/>
              </w:rPr>
              <w:t xml:space="preserve">  </w:t>
            </w:r>
          </w:p>
          <w:p w:rsidR="00121A3F" w:rsidRPr="00AF7355" w:rsidRDefault="00121A3F" w:rsidP="000C1A3A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Pr="00AF7355">
              <w:rPr>
                <w:rFonts w:ascii="Arial" w:hAnsi="Arial" w:cs="Arial"/>
              </w:rPr>
              <w:t>ŽUPANIJA</w:t>
            </w:r>
          </w:p>
        </w:tc>
      </w:tr>
    </w:tbl>
    <w:p w:rsidR="00121A3F" w:rsidRDefault="00121A3F" w:rsidP="00121A3F">
      <w:pPr>
        <w:jc w:val="both"/>
        <w:rPr>
          <w:rFonts w:ascii="Arial" w:hAnsi="Arial" w:cs="Arial"/>
          <w:b/>
        </w:rPr>
      </w:pPr>
    </w:p>
    <w:p w:rsidR="00121A3F" w:rsidRDefault="00121A3F" w:rsidP="00121A3F">
      <w:pPr>
        <w:jc w:val="both"/>
        <w:rPr>
          <w:rFonts w:ascii="Arial" w:hAnsi="Arial" w:cs="Arial"/>
          <w:b/>
        </w:rPr>
      </w:pPr>
      <w:r w:rsidRPr="00C53824">
        <w:rPr>
          <w:rFonts w:ascii="Arial" w:hAnsi="Arial" w:cs="Arial"/>
          <w:b/>
        </w:rPr>
        <w:t>Upravni odjel za</w:t>
      </w:r>
      <w:r>
        <w:rPr>
          <w:rFonts w:ascii="Arial" w:hAnsi="Arial" w:cs="Arial"/>
          <w:b/>
        </w:rPr>
        <w:t xml:space="preserve"> prostorno uređenje, </w:t>
      </w:r>
    </w:p>
    <w:p w:rsidR="00121A3F" w:rsidRDefault="00121A3F" w:rsidP="00121A3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graditeljstvo i zaštitu okoliša </w:t>
      </w:r>
    </w:p>
    <w:p w:rsidR="00121A3F" w:rsidRDefault="00121A3F" w:rsidP="00121A3F">
      <w:pPr>
        <w:jc w:val="both"/>
        <w:rPr>
          <w:rFonts w:ascii="Arial" w:hAnsi="Arial" w:cs="Arial"/>
          <w:b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112-03/14-01/9</w:t>
      </w:r>
    </w:p>
    <w:p w:rsidR="00121A3F" w:rsidRDefault="00121A3F" w:rsidP="00121A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2170/1-06-02/2-14-3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Rijeka, 29. listopada 2014.</w:t>
      </w:r>
    </w:p>
    <w:p w:rsidR="00121A3F" w:rsidRDefault="00121A3F" w:rsidP="00121A3F">
      <w:pPr>
        <w:rPr>
          <w:rFonts w:ascii="Arial" w:hAnsi="Arial" w:cs="Arial"/>
        </w:rPr>
      </w:pPr>
    </w:p>
    <w:p w:rsidR="00121A3F" w:rsidRDefault="00121A3F" w:rsidP="00121A3F">
      <w:pPr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Pročelnica Upravnog odjela za prostorno uređenje, graditeljstvo i zaštitu okoliša, temeljem odredbe članka 19. i 29. Zakona o službenicima i namještenicima u lokalnoj i područnoj (regionalnoj) samoupravi (''Narodne novine'' broj 86/08 i 61/11), objavljuje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UPUTE I OBAVIJESTI KANDIDATIMA / KANDIDATKINJAMA</w:t>
      </w:r>
    </w:p>
    <w:p w:rsidR="00121A3F" w:rsidRDefault="00121A3F" w:rsidP="00121A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koji podnose prijavu na </w:t>
      </w:r>
    </w:p>
    <w:p w:rsidR="00121A3F" w:rsidRPr="00844F07" w:rsidRDefault="00121A3F" w:rsidP="00121A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OGLAS ZA PRIJAM U SLUŽBU </w:t>
      </w:r>
      <w:r w:rsidR="00332FB1">
        <w:rPr>
          <w:rFonts w:ascii="Arial" w:hAnsi="Arial" w:cs="Arial"/>
          <w:b/>
        </w:rPr>
        <w:t>NA ODREĐENO VRIJEME OD 6 MJESECI RADI OBAVLJANJA POSLOVA ČIJI SE OPSEG PRIVREMENO POVEĆAO U UPRAVNOM</w:t>
      </w:r>
      <w:r>
        <w:rPr>
          <w:rFonts w:ascii="Arial" w:hAnsi="Arial" w:cs="Arial"/>
          <w:b/>
        </w:rPr>
        <w:t xml:space="preserve"> ODJEL</w:t>
      </w:r>
      <w:r w:rsidR="00332FB1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 xml:space="preserve">  ZA PROSTORNO UREĐENJE,  GRADITELJSTVO I ZAŠTITU OKOLIŠA</w:t>
      </w:r>
    </w:p>
    <w:p w:rsidR="00121A3F" w:rsidRPr="00844F07" w:rsidRDefault="00121A3F" w:rsidP="00121A3F">
      <w:pPr>
        <w:jc w:val="center"/>
        <w:rPr>
          <w:rFonts w:ascii="Arial" w:hAnsi="Arial" w:cs="Arial"/>
          <w:b/>
        </w:rPr>
      </w:pPr>
      <w:r w:rsidRPr="00844F07">
        <w:rPr>
          <w:rFonts w:ascii="Arial" w:hAnsi="Arial" w:cs="Arial"/>
          <w:b/>
        </w:rPr>
        <w:t>na radno mjesto:</w:t>
      </w:r>
    </w:p>
    <w:p w:rsidR="00121A3F" w:rsidRDefault="00121A3F" w:rsidP="00121A3F">
      <w:pPr>
        <w:jc w:val="center"/>
        <w:rPr>
          <w:rFonts w:ascii="Arial" w:hAnsi="Arial" w:cs="Arial"/>
        </w:rPr>
      </w:pPr>
    </w:p>
    <w:p w:rsidR="00121A3F" w:rsidRDefault="00121A3F" w:rsidP="00121A3F">
      <w:pPr>
        <w:ind w:firstLine="708"/>
        <w:jc w:val="center"/>
        <w:rPr>
          <w:rFonts w:ascii="Arial" w:hAnsi="Arial" w:cs="Arial"/>
          <w:b/>
        </w:rPr>
      </w:pPr>
      <w:r w:rsidRPr="00B343A4">
        <w:rPr>
          <w:rFonts w:ascii="Arial" w:hAnsi="Arial" w:cs="Arial"/>
          <w:b/>
        </w:rPr>
        <w:t xml:space="preserve">VIŠI STRUČNI SURADNIK / VIŠA STRUČNA SURADNICA ZA </w:t>
      </w:r>
      <w:r>
        <w:rPr>
          <w:rFonts w:ascii="Arial" w:hAnsi="Arial" w:cs="Arial"/>
          <w:b/>
        </w:rPr>
        <w:t xml:space="preserve">    </w:t>
      </w:r>
    </w:p>
    <w:p w:rsidR="00121A3F" w:rsidRPr="00B343A4" w:rsidRDefault="00121A3F" w:rsidP="00121A3F">
      <w:pPr>
        <w:ind w:firstLine="708"/>
        <w:jc w:val="center"/>
        <w:rPr>
          <w:rFonts w:ascii="Arial" w:hAnsi="Arial" w:cs="Arial"/>
          <w:b/>
        </w:rPr>
      </w:pPr>
      <w:r w:rsidRPr="00B343A4">
        <w:rPr>
          <w:rFonts w:ascii="Arial" w:hAnsi="Arial" w:cs="Arial"/>
          <w:b/>
        </w:rPr>
        <w:t>PROSTORNO UREĐENJE I GRADITELJSTVO</w:t>
      </w:r>
    </w:p>
    <w:p w:rsidR="00121A3F" w:rsidRDefault="00121A3F" w:rsidP="00121A3F">
      <w:pPr>
        <w:jc w:val="both"/>
        <w:rPr>
          <w:rFonts w:ascii="Arial" w:hAnsi="Arial" w:cs="Arial"/>
          <w:b/>
        </w:rPr>
      </w:pPr>
    </w:p>
    <w:p w:rsidR="00121A3F" w:rsidRDefault="00121A3F" w:rsidP="00121A3F">
      <w:pPr>
        <w:ind w:firstLine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OPIS POSLOVA radnog mjesta ''Viši stručni suradnik / Viša stručna suradnica za prostorno uređenje, graditeljstvo i zaštitu okoliša'':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 w:rsidRPr="008A2E6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Vodi složenije upravne i druge predmete iz područja prostornog uređenja i gradnje. Rješava složenije probleme iz nadležnosti Odsjeka uz upute i nadzor voditelja Odsjeka.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6517D">
        <w:rPr>
          <w:rFonts w:ascii="Arial" w:hAnsi="Arial" w:cs="Arial"/>
        </w:rPr>
        <w:t>Prati stanje u upravnim područjima iz djelokruga Odsjeka, osobito u pogledu provo</w:t>
      </w:r>
      <w:r>
        <w:rPr>
          <w:rFonts w:ascii="Arial" w:hAnsi="Arial" w:cs="Arial"/>
        </w:rPr>
        <w:t>đenja zakona i drugih propisa te primjera dobre prakse, te predlaže mjere za poboljšanje. Surađuje s nadležnim ministarstvima, državnim uredima i drugim institucijama i pravnim osobama koje djeluju u okviru djelokruga rada Odsjeka. Prati stručnu literaturu i pohađa edukacije iz područja prostornog uređenja i graditeljstva.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Izrađuje izvješća o radu i druge propisane izvještaje, odgovara za pravilnu primjenu postupaka i metoda rada te provedbu pojedinačnih odluka.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Obavlja stručnu komunikaciju sa strankama i drugim subjektima u svrhu prikupljanja i razmjene informacija. Sudjeluje u obradi predstavki i pritužbi građana i drugih subjekata.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Sudjeluje u pripremi, izradi, prikupljanju podataka, implementaciji, ažuriranju i korištenju informacijskog sustava iz djelokruga rada Odsjeka.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Obavlja i ostale poslove koje mu povjeri voditelj Odsjeka. </w:t>
      </w:r>
    </w:p>
    <w:p w:rsidR="00121A3F" w:rsidRPr="00844F07" w:rsidRDefault="00121A3F" w:rsidP="00121A3F">
      <w:pPr>
        <w:jc w:val="both"/>
        <w:rPr>
          <w:rFonts w:ascii="Arial" w:hAnsi="Arial" w:cs="Arial"/>
        </w:rPr>
      </w:pPr>
    </w:p>
    <w:p w:rsidR="00121A3F" w:rsidRPr="001B7F41" w:rsidRDefault="00121A3F" w:rsidP="00121A3F">
      <w:pPr>
        <w:ind w:firstLine="360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t xml:space="preserve">PODACI O PLAĆI: </w:t>
      </w:r>
    </w:p>
    <w:p w:rsidR="00121A3F" w:rsidRDefault="00121A3F" w:rsidP="00121A3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Plaća je utvrđena Odlukom o koeficijentima za obračun plaća službenika i namještenika u upravnim tijelima Primorsko-goranske županije (''Službene novine Primorsko-goranske županije'' broj 36/10 i 12/11). </w:t>
      </w:r>
    </w:p>
    <w:p w:rsidR="00121A3F" w:rsidRDefault="00121A3F" w:rsidP="00121A3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Osnovnu plaću službenika na radnom mjestu viši stručni suradnik čini umnožak koeficijenata složenosti poslova radnog mjesta koji iznosi 2,20 i osnovice za obračun plaće, uvećan za 0,5 % za svaku navršenu godinu radnog staža. </w:t>
      </w:r>
    </w:p>
    <w:p w:rsidR="00121A3F" w:rsidRDefault="00121A3F" w:rsidP="00121A3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Osnovica za obračun plaće službenika i namještenika u upravnim odjelima i službama Primorsko-goranske županije utvrđena je Odlukom Župana i iznosi 4.840,00 kuna bruto.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Pr="001B7F41" w:rsidRDefault="00121A3F" w:rsidP="00121A3F">
      <w:pPr>
        <w:ind w:firstLine="708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t xml:space="preserve">NAČIN OBAVLJANJA PRETHODNE PROVJERE ZNANJA I SPOSOBNOSTI KANDIDATA / KANDIDATKINJA: </w:t>
      </w:r>
    </w:p>
    <w:p w:rsidR="00121A3F" w:rsidRPr="001B7F41" w:rsidRDefault="00121A3F" w:rsidP="00121A3F">
      <w:pPr>
        <w:jc w:val="both"/>
        <w:rPr>
          <w:rFonts w:ascii="Arial" w:hAnsi="Arial" w:cs="Arial"/>
          <w:b/>
        </w:rPr>
      </w:pP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Prethodnu provjeru znanja i sposobnosti kandidata / kandidatkinja provodi Povjerenstvo za provedbu oglasa imenovano od strane pročelnice Upravnog odjela za prostorno uređenje, graditeljstvo i zaštitu okoliša Primorsko-goranske županije, putem pisanog testiranja i intervjua.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Prethodnoj provjeri znanja i sposobnosti mogu pristupiti samo kandidati / kandidatkinje koji ispunjavaju formalne uvjete oglasa i koji dobiju poseban pisani poziv na adresu navedenu u prijavi.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Pisano testiranje kandidata / kandidatkinja sastoji se od općeg i posebnog dijela, sa ukupno 20 pitanja.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Posebni dio testiranja sastoji se od provjere poznavanja zakona i drugih propisa vezanih uz djelokrug Upravnog odjela za prostorno uređenje, graditeljstvo i zaštitu okoliša u koje se prima kandidat / kandidatkinja i poslova radnog mjesta na koje se prima.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Maksimalan broj bodova koje kandidati / kandidatkinje mogu ostvariti na pisanom testiranju je 10 bodova, a Intervju se provodi samo s kandidatima / kandidatkinjama koji ostvare najmanje ili više od 50 % bodova na provedenom pisanom testiranju. </w:t>
      </w: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Vrijeme održavanja prethodne provjere znanja i sposobnosti objaviti će se najmanje 5 dana prije održavanja provjere na web stranici Primorsko-goranske županije </w:t>
      </w:r>
      <w:hyperlink r:id="rId9" w:history="1">
        <w:r w:rsidRPr="00CD5B93">
          <w:rPr>
            <w:rStyle w:val="Hiperveza"/>
            <w:rFonts w:ascii="Arial" w:hAnsi="Arial" w:cs="Arial"/>
          </w:rPr>
          <w:t>www.pgz.hr</w:t>
        </w:r>
      </w:hyperlink>
      <w:r>
        <w:rPr>
          <w:rFonts w:ascii="Arial" w:hAnsi="Arial" w:cs="Arial"/>
        </w:rPr>
        <w:t xml:space="preserve"> i na oglasnoj ploči Upravnog odjela za prostorno uređenje, graditeljstvo i zaštitu okoliša Primorsko-goranske županije na adresi Rijeka, Riva 10.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Pravni i drugi izvori za pripremanje kandidata / kandidatkinja za pisano testiranje jesu: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Pr="0087313B" w:rsidRDefault="00121A3F" w:rsidP="00121A3F">
      <w:pPr>
        <w:jc w:val="both"/>
        <w:rPr>
          <w:rFonts w:ascii="Arial" w:hAnsi="Arial" w:cs="Arial"/>
          <w:b/>
        </w:rPr>
      </w:pPr>
      <w:r w:rsidRPr="0087313B">
        <w:rPr>
          <w:rFonts w:ascii="Arial" w:hAnsi="Arial" w:cs="Arial"/>
          <w:b/>
        </w:rPr>
        <w:t xml:space="preserve">Opći dio: </w:t>
      </w: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Zakon o lokalnoj i područnoj (regionalnoj) samoupravi (''Narodne novine'' broj 33/01, 60/01 – vjerodostojno tumačenje, 129/05, 109/07, 125/08, 36/09, 150/11, 144/12 i 19/13 – pročišćeni tekst) 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(''Narodne novine'' broj 20/10 i 143/12)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121A3F" w:rsidRPr="00C32184" w:rsidRDefault="00121A3F" w:rsidP="00C3218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32184">
        <w:rPr>
          <w:rFonts w:ascii="Arial" w:hAnsi="Arial" w:cs="Arial"/>
        </w:rPr>
        <w:t>Sustav Europske unije (</w:t>
      </w:r>
      <w:hyperlink r:id="rId10" w:history="1">
        <w:r w:rsidRPr="00C32184">
          <w:rPr>
            <w:rStyle w:val="Hiperveza"/>
            <w:rFonts w:ascii="Arial" w:hAnsi="Arial" w:cs="Arial"/>
            <w:color w:val="auto"/>
            <w:u w:val="none"/>
            <w:bdr w:val="none" w:sz="0" w:space="0" w:color="auto" w:frame="1"/>
          </w:rPr>
          <w:t xml:space="preserve">Službena internetska stranica Europske unije - </w:t>
        </w:r>
        <w:r w:rsidRPr="00C32184">
          <w:rPr>
            <w:rStyle w:val="Hiperveza"/>
            <w:rFonts w:ascii="Arial" w:hAnsi="Arial" w:cs="Arial"/>
            <w:color w:val="auto"/>
            <w:bdr w:val="none" w:sz="0" w:space="0" w:color="auto" w:frame="1"/>
          </w:rPr>
          <w:t>europa.eu</w:t>
        </w:r>
      </w:hyperlink>
      <w:r w:rsidRPr="00C32184">
        <w:rPr>
          <w:rFonts w:ascii="Arial" w:hAnsi="Arial" w:cs="Arial"/>
          <w:u w:val="single"/>
        </w:rPr>
        <w:t> </w:t>
      </w:r>
      <w:r w:rsidRPr="00C32184">
        <w:rPr>
          <w:rFonts w:ascii="Arial" w:hAnsi="Arial" w:cs="Arial"/>
          <w:color w:val="666666"/>
          <w:u w:val="single"/>
        </w:rPr>
        <w:t xml:space="preserve"> </w:t>
      </w:r>
      <w:hyperlink r:id="rId11" w:history="1">
        <w:r w:rsidRPr="00C32184">
          <w:rPr>
            <w:rStyle w:val="Hiperveza"/>
            <w:rFonts w:ascii="Arial" w:hAnsi="Arial" w:cs="Arial"/>
          </w:rPr>
          <w:t>http://europa.eu/index_hr.htm</w:t>
        </w:r>
      </w:hyperlink>
      <w:r w:rsidR="00C32184">
        <w:rPr>
          <w:rFonts w:ascii="Arial" w:hAnsi="Arial" w:cs="Arial"/>
        </w:rPr>
        <w:t xml:space="preserve"> - institucije i tijela EU)</w:t>
      </w:r>
    </w:p>
    <w:p w:rsidR="00121A3F" w:rsidRDefault="00121A3F" w:rsidP="00C32184">
      <w:pPr>
        <w:jc w:val="both"/>
        <w:rPr>
          <w:rFonts w:ascii="Arial" w:hAnsi="Arial" w:cs="Arial"/>
        </w:rPr>
      </w:pPr>
    </w:p>
    <w:p w:rsidR="00121A3F" w:rsidRDefault="00121A3F" w:rsidP="00121A3F">
      <w:pPr>
        <w:ind w:left="360"/>
        <w:jc w:val="both"/>
        <w:rPr>
          <w:rFonts w:ascii="Arial" w:hAnsi="Arial" w:cs="Arial"/>
        </w:rPr>
      </w:pPr>
    </w:p>
    <w:p w:rsidR="00121A3F" w:rsidRPr="00410BFC" w:rsidRDefault="00121A3F" w:rsidP="00121A3F">
      <w:pPr>
        <w:ind w:left="360"/>
        <w:jc w:val="both"/>
        <w:rPr>
          <w:rFonts w:ascii="Arial" w:hAnsi="Arial" w:cs="Arial"/>
          <w:b/>
        </w:rPr>
      </w:pPr>
      <w:r w:rsidRPr="00410BFC">
        <w:rPr>
          <w:rFonts w:ascii="Arial" w:hAnsi="Arial" w:cs="Arial"/>
          <w:b/>
        </w:rPr>
        <w:t xml:space="preserve">Posebni dio: </w:t>
      </w:r>
    </w:p>
    <w:p w:rsidR="00121A3F" w:rsidRDefault="00121A3F" w:rsidP="00121A3F">
      <w:pPr>
        <w:ind w:left="360"/>
        <w:jc w:val="both"/>
        <w:rPr>
          <w:rFonts w:ascii="Arial" w:hAnsi="Arial" w:cs="Arial"/>
        </w:rPr>
      </w:pP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gradnji (''Narodne novine'' broj 153/13)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Zakon o prostornom uređenju (''Narodne novine'' broj 153/13)</w:t>
      </w:r>
    </w:p>
    <w:p w:rsidR="00121A3F" w:rsidRDefault="00121A3F" w:rsidP="00121A3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Zakon o postupanju s nezakonito izgrađenim zgradama (''Narodne novine'' broj 86/12 i 143/13). </w:t>
      </w:r>
    </w:p>
    <w:p w:rsidR="00121A3F" w:rsidRDefault="00121A3F" w:rsidP="00121A3F">
      <w:pPr>
        <w:ind w:left="720"/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ind w:left="43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</w:t>
      </w:r>
      <w:r w:rsidRPr="00BC479A">
        <w:rPr>
          <w:rFonts w:ascii="Arial" w:hAnsi="Arial" w:cs="Arial"/>
          <w:b/>
        </w:rPr>
        <w:t>Pročeln</w:t>
      </w:r>
      <w:r>
        <w:rPr>
          <w:rFonts w:ascii="Arial" w:hAnsi="Arial" w:cs="Arial"/>
          <w:b/>
        </w:rPr>
        <w:t>ica</w:t>
      </w:r>
    </w:p>
    <w:p w:rsidR="00121A3F" w:rsidRDefault="00121A3F" w:rsidP="00121A3F">
      <w:pPr>
        <w:rPr>
          <w:rFonts w:ascii="Arial" w:hAnsi="Arial" w:cs="Arial"/>
          <w:b/>
        </w:rPr>
      </w:pPr>
    </w:p>
    <w:p w:rsidR="00121A3F" w:rsidRDefault="00121A3F" w:rsidP="00121A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D32BD9">
        <w:rPr>
          <w:rFonts w:ascii="Arial" w:hAnsi="Arial" w:cs="Arial"/>
          <w:b/>
        </w:rPr>
        <w:t xml:space="preserve">            </w:t>
      </w:r>
      <w:proofErr w:type="spellStart"/>
      <w:r w:rsidR="00D32BD9">
        <w:rPr>
          <w:rFonts w:ascii="Arial" w:hAnsi="Arial" w:cs="Arial"/>
          <w:b/>
        </w:rPr>
        <w:t>v.r</w:t>
      </w:r>
      <w:proofErr w:type="spellEnd"/>
      <w:r w:rsidR="00D32BD9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doc.dr.sc. Koraljka </w:t>
      </w:r>
      <w:proofErr w:type="spellStart"/>
      <w:r>
        <w:rPr>
          <w:rFonts w:ascii="Arial" w:hAnsi="Arial" w:cs="Arial"/>
          <w:b/>
        </w:rPr>
        <w:t>Vahtar</w:t>
      </w:r>
      <w:proofErr w:type="spellEnd"/>
      <w:r>
        <w:rPr>
          <w:rFonts w:ascii="Arial" w:hAnsi="Arial" w:cs="Arial"/>
          <w:b/>
        </w:rPr>
        <w:t xml:space="preserve">-Jurković, dipl.ing.građ.  </w:t>
      </w:r>
    </w:p>
    <w:p w:rsidR="00121A3F" w:rsidRDefault="00121A3F" w:rsidP="00121A3F">
      <w:pPr>
        <w:jc w:val="both"/>
        <w:rPr>
          <w:rFonts w:ascii="Arial" w:hAnsi="Arial" w:cs="Arial"/>
          <w:b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Default="00121A3F" w:rsidP="00121A3F">
      <w:pPr>
        <w:jc w:val="both"/>
        <w:rPr>
          <w:rFonts w:ascii="Arial" w:hAnsi="Arial" w:cs="Arial"/>
        </w:rPr>
      </w:pPr>
    </w:p>
    <w:p w:rsidR="00121A3F" w:rsidRPr="0046670B" w:rsidRDefault="00121A3F" w:rsidP="00121A3F">
      <w:pPr>
        <w:jc w:val="both"/>
        <w:rPr>
          <w:rFonts w:ascii="Arial" w:hAnsi="Arial" w:cs="Arial"/>
        </w:rPr>
      </w:pPr>
    </w:p>
    <w:p w:rsidR="00121A3F" w:rsidRDefault="00121A3F"/>
    <w:sectPr w:rsidR="00121A3F" w:rsidSect="00E10781">
      <w:headerReference w:type="even" r:id="rId12"/>
      <w:head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641" w:rsidRDefault="00656641" w:rsidP="003A718C">
      <w:r>
        <w:separator/>
      </w:r>
    </w:p>
  </w:endnote>
  <w:endnote w:type="continuationSeparator" w:id="0">
    <w:p w:rsidR="00656641" w:rsidRDefault="00656641" w:rsidP="003A7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641" w:rsidRDefault="00656641" w:rsidP="003A718C">
      <w:r>
        <w:separator/>
      </w:r>
    </w:p>
  </w:footnote>
  <w:footnote w:type="continuationSeparator" w:id="0">
    <w:p w:rsidR="00656641" w:rsidRDefault="00656641" w:rsidP="003A7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BF" w:rsidRDefault="003A718C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332FB1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75ABF" w:rsidRDefault="00656641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BF" w:rsidRDefault="003A718C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332FB1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D32BD9">
      <w:rPr>
        <w:rStyle w:val="Brojstranice"/>
        <w:noProof/>
      </w:rPr>
      <w:t>3</w:t>
    </w:r>
    <w:r>
      <w:rPr>
        <w:rStyle w:val="Brojstranice"/>
      </w:rPr>
      <w:fldChar w:fldCharType="end"/>
    </w:r>
  </w:p>
  <w:p w:rsidR="00775ABF" w:rsidRDefault="00656641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A2FDD"/>
    <w:multiLevelType w:val="multilevel"/>
    <w:tmpl w:val="E0EA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1A3F"/>
    <w:rsid w:val="00121A3F"/>
    <w:rsid w:val="00332FB1"/>
    <w:rsid w:val="003A718C"/>
    <w:rsid w:val="00656641"/>
    <w:rsid w:val="00C32184"/>
    <w:rsid w:val="00D32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121A3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21A3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121A3F"/>
  </w:style>
  <w:style w:type="character" w:styleId="Hiperveza">
    <w:name w:val="Hyperlink"/>
    <w:basedOn w:val="Zadanifontodlomka"/>
    <w:rsid w:val="00121A3F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21A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1A3F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ropa.eu/index_hr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Slu&#382;bena%20internetska%20stranica%20Europske%20unije%20-%20europ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g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3</cp:revision>
  <cp:lastPrinted>2014-10-29T13:28:00Z</cp:lastPrinted>
  <dcterms:created xsi:type="dcterms:W3CDTF">2014-10-29T13:14:00Z</dcterms:created>
  <dcterms:modified xsi:type="dcterms:W3CDTF">2014-11-05T07:53:00Z</dcterms:modified>
</cp:coreProperties>
</file>