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5E46810A">
            <wp:extent cx="292735" cy="3594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</w:t>
      </w:r>
      <w:r w:rsidRPr="002C20A2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2C20A2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B033A1" w:rsidRPr="002C20A2" w:rsidRDefault="00B033A1" w:rsidP="00B033A1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:rsidR="00B033A1" w:rsidRPr="002C20A2" w:rsidRDefault="00B033A1" w:rsidP="00B033A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33A1" w:rsidRDefault="00B033A1" w:rsidP="00B033A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20A2">
        <w:rPr>
          <w:rFonts w:ascii="Arial" w:eastAsia="Times New Roman" w:hAnsi="Arial" w:cs="Arial"/>
          <w:sz w:val="24"/>
          <w:szCs w:val="24"/>
          <w:lang w:eastAsia="hr-HR"/>
        </w:rPr>
        <w:t xml:space="preserve">Na temelju Odluke o raspisivanju </w:t>
      </w:r>
      <w:r w:rsidRPr="00E5722A">
        <w:rPr>
          <w:rFonts w:ascii="Arial" w:eastAsia="Times New Roman" w:hAnsi="Arial" w:cs="Arial"/>
          <w:sz w:val="24"/>
          <w:szCs w:val="24"/>
          <w:lang w:eastAsia="hr-HR"/>
        </w:rPr>
        <w:t>Javn</w:t>
      </w:r>
      <w:r>
        <w:rPr>
          <w:rFonts w:ascii="Arial" w:eastAsia="Times New Roman" w:hAnsi="Arial" w:cs="Arial"/>
          <w:sz w:val="24"/>
          <w:szCs w:val="24"/>
          <w:lang w:eastAsia="hr-HR"/>
        </w:rPr>
        <w:t>og</w:t>
      </w:r>
      <w:r w:rsidRPr="00E5722A">
        <w:rPr>
          <w:rFonts w:ascii="Arial" w:eastAsia="Times New Roman" w:hAnsi="Arial" w:cs="Arial"/>
          <w:sz w:val="24"/>
          <w:szCs w:val="24"/>
          <w:lang w:eastAsia="hr-HR"/>
        </w:rPr>
        <w:t xml:space="preserve"> natječaj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E5722A">
        <w:rPr>
          <w:rFonts w:ascii="Arial" w:eastAsia="Times New Roman" w:hAnsi="Arial" w:cs="Arial"/>
          <w:sz w:val="24"/>
          <w:szCs w:val="24"/>
          <w:lang w:eastAsia="hr-HR"/>
        </w:rPr>
        <w:t xml:space="preserve"> za dodjelu i postavljanje električnih ograda u projektu Carnivora Dinarica. </w:t>
      </w:r>
      <w:r w:rsidRPr="00B033A1">
        <w:rPr>
          <w:rFonts w:ascii="Arial" w:eastAsia="Times New Roman" w:hAnsi="Arial" w:cs="Arial"/>
          <w:sz w:val="24"/>
          <w:szCs w:val="24"/>
          <w:lang w:eastAsia="hr-HR"/>
        </w:rPr>
        <w:t>(KLASA:022-04/19-01/27, URBROJ:2170/1-01-</w:t>
      </w:r>
      <w:proofErr w:type="spellStart"/>
      <w:r w:rsidRPr="00B033A1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Pr="00B033A1">
        <w:rPr>
          <w:rFonts w:ascii="Arial" w:eastAsia="Times New Roman" w:hAnsi="Arial" w:cs="Arial"/>
          <w:sz w:val="24"/>
          <w:szCs w:val="24"/>
          <w:lang w:eastAsia="hr-HR"/>
        </w:rPr>
        <w:t>/6-19-24 od 29. srpnja 2019. g</w:t>
      </w:r>
      <w:r w:rsidRPr="002C20A2">
        <w:rPr>
          <w:rFonts w:ascii="Arial" w:eastAsia="Times New Roman" w:hAnsi="Arial" w:cs="Arial"/>
          <w:sz w:val="24"/>
          <w:szCs w:val="24"/>
          <w:lang w:eastAsia="hr-HR"/>
        </w:rPr>
        <w:t>) i Pravilnika o kriterijima, mjerilima i postupcima financiranja i ugovaranja programa i projekata od interesa za opće dobro koje provode udruge (“Službene novine“ broj 34/15), objavljuje se</w:t>
      </w: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0"/>
        </w:rPr>
      </w:pPr>
    </w:p>
    <w:p w:rsidR="00B033A1" w:rsidRPr="00A820FE" w:rsidRDefault="00B033A1" w:rsidP="00B033A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2C20A2">
        <w:rPr>
          <w:rFonts w:ascii="Arial" w:eastAsia="Times New Roman" w:hAnsi="Arial" w:cs="Times New Roman"/>
          <w:b/>
          <w:noProof/>
          <w:sz w:val="24"/>
          <w:szCs w:val="20"/>
        </w:rPr>
        <w:t xml:space="preserve">JAVNI NATJEČAJA ZA </w:t>
      </w:r>
      <w:r w:rsidRPr="00A820FE">
        <w:rPr>
          <w:rFonts w:ascii="Arial" w:eastAsia="Times New Roman" w:hAnsi="Arial" w:cs="Arial"/>
          <w:b/>
          <w:sz w:val="24"/>
          <w:szCs w:val="24"/>
          <w:lang w:eastAsia="hr-HR"/>
        </w:rPr>
        <w:t>DODJELU I POSTAVLJANJE ELEKTRIČNIH OGRADA U PROJEKTU CARNIVORA DINARICA</w:t>
      </w: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0"/>
        </w:rPr>
      </w:pP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20A2">
        <w:rPr>
          <w:rFonts w:ascii="Arial" w:eastAsia="Calibri" w:hAnsi="Arial" w:cs="Arial"/>
          <w:b/>
          <w:sz w:val="24"/>
          <w:szCs w:val="24"/>
        </w:rPr>
        <w:t>I.</w:t>
      </w: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20A2">
        <w:rPr>
          <w:rFonts w:ascii="Arial" w:eastAsia="Calibri" w:hAnsi="Arial" w:cs="Arial"/>
          <w:sz w:val="24"/>
          <w:szCs w:val="24"/>
        </w:rPr>
        <w:t xml:space="preserve">Primorsko-goranska županija raspisuje ovaj natječaj u sklopu provedbe projekta </w:t>
      </w:r>
      <w:r w:rsidRPr="00CB363A">
        <w:rPr>
          <w:rFonts w:ascii="Arial" w:eastAsia="Calibri" w:hAnsi="Arial" w:cs="Arial"/>
          <w:sz w:val="24"/>
          <w:szCs w:val="24"/>
        </w:rPr>
        <w:t xml:space="preserve">CARNIVORA DINARICA , aktivnosti T. 3. 1. 1. „Zaštitne ograde na 'vrućim točkama' 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ab/>
      </w: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noProof/>
          <w:sz w:val="24"/>
          <w:szCs w:val="20"/>
        </w:rPr>
      </w:pPr>
      <w:r w:rsidRPr="00CB363A">
        <w:rPr>
          <w:rFonts w:ascii="Arial" w:eastAsia="Times New Roman" w:hAnsi="Arial" w:cs="Times New Roman"/>
          <w:noProof/>
          <w:sz w:val="24"/>
          <w:szCs w:val="20"/>
        </w:rPr>
        <w:t>Projekt „CARNIVORA DINARICA“ se provodi u okviru Programa suradnje Interreg V-A Slovenija – Hrvatska 2014.-2020</w:t>
      </w:r>
      <w:r>
        <w:rPr>
          <w:rFonts w:ascii="Arial" w:eastAsia="Times New Roman" w:hAnsi="Arial" w:cs="Times New Roman"/>
          <w:noProof/>
          <w:sz w:val="24"/>
          <w:szCs w:val="20"/>
        </w:rPr>
        <w:t>.</w:t>
      </w:r>
    </w:p>
    <w:p w:rsidR="00B033A1" w:rsidRPr="002C20A2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2C20A2" w:rsidRDefault="00B033A1" w:rsidP="00B033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20A2">
        <w:rPr>
          <w:rFonts w:ascii="Arial" w:eastAsia="Calibri" w:hAnsi="Arial" w:cs="Arial"/>
          <w:b/>
          <w:sz w:val="24"/>
          <w:szCs w:val="24"/>
        </w:rPr>
        <w:t>II.</w:t>
      </w:r>
    </w:p>
    <w:p w:rsidR="00B033A1" w:rsidRPr="002C20A2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0A2">
        <w:rPr>
          <w:rFonts w:ascii="Arial" w:eastAsia="Calibri" w:hAnsi="Arial" w:cs="Arial"/>
          <w:sz w:val="24"/>
          <w:szCs w:val="24"/>
        </w:rPr>
        <w:tab/>
        <w:t>U sklopu aktivnosti iz točke I</w:t>
      </w:r>
      <w:r>
        <w:rPr>
          <w:rFonts w:ascii="Arial" w:eastAsia="Calibri" w:hAnsi="Arial" w:cs="Arial"/>
          <w:sz w:val="24"/>
          <w:szCs w:val="24"/>
        </w:rPr>
        <w:t>.</w:t>
      </w:r>
      <w:r w:rsidRPr="002C20A2">
        <w:rPr>
          <w:rFonts w:ascii="Arial" w:eastAsia="Calibri" w:hAnsi="Arial" w:cs="Arial"/>
          <w:sz w:val="24"/>
          <w:szCs w:val="24"/>
        </w:rPr>
        <w:t xml:space="preserve"> ovog Javnog natječaja </w:t>
      </w:r>
      <w:r>
        <w:rPr>
          <w:rFonts w:ascii="Arial" w:eastAsia="Calibri" w:hAnsi="Arial" w:cs="Arial"/>
          <w:sz w:val="24"/>
          <w:szCs w:val="24"/>
        </w:rPr>
        <w:t xml:space="preserve">dodijelit će se 40 zaštitnih električnih ograda radi postavljanja na </w:t>
      </w:r>
      <w:r w:rsidRPr="00CB363A">
        <w:rPr>
          <w:rFonts w:ascii="Arial" w:eastAsia="Calibri" w:hAnsi="Arial" w:cs="Arial"/>
          <w:sz w:val="24"/>
          <w:szCs w:val="24"/>
        </w:rPr>
        <w:t>40</w:t>
      </w:r>
      <w:r>
        <w:rPr>
          <w:rFonts w:ascii="Arial" w:eastAsia="Calibri" w:hAnsi="Arial" w:cs="Arial"/>
          <w:sz w:val="24"/>
          <w:szCs w:val="24"/>
        </w:rPr>
        <w:t xml:space="preserve"> lokacija na području</w:t>
      </w:r>
      <w:r w:rsidRPr="00CB363A">
        <w:rPr>
          <w:rFonts w:ascii="Arial" w:eastAsia="Calibri" w:hAnsi="Arial" w:cs="Arial"/>
          <w:sz w:val="24"/>
          <w:szCs w:val="24"/>
        </w:rPr>
        <w:t xml:space="preserve"> ekološke mreže Natura 2000 </w:t>
      </w:r>
      <w:r w:rsidRPr="00972184">
        <w:rPr>
          <w:rFonts w:ascii="Arial" w:eastAsia="Calibri" w:hAnsi="Arial" w:cs="Arial"/>
          <w:sz w:val="24"/>
          <w:szCs w:val="24"/>
        </w:rPr>
        <w:t xml:space="preserve">unutar zemljopisnog područja Gorskog kotara, a izvan Nacionalnog parka Risnjak i to unutar administrativnih gradova i općina: Čabar, Delnice, Vrbovsko, Novi Vinodolski, Bakar, Brod </w:t>
      </w:r>
      <w:proofErr w:type="spellStart"/>
      <w:r w:rsidRPr="00972184">
        <w:rPr>
          <w:rFonts w:ascii="Arial" w:eastAsia="Calibri" w:hAnsi="Arial" w:cs="Arial"/>
          <w:sz w:val="24"/>
          <w:szCs w:val="24"/>
        </w:rPr>
        <w:t>Moravice</w:t>
      </w:r>
      <w:proofErr w:type="spellEnd"/>
      <w:r w:rsidRPr="00972184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972184">
        <w:rPr>
          <w:rFonts w:ascii="Arial" w:eastAsia="Calibri" w:hAnsi="Arial" w:cs="Arial"/>
          <w:sz w:val="24"/>
          <w:szCs w:val="24"/>
        </w:rPr>
        <w:t>Fužine</w:t>
      </w:r>
      <w:proofErr w:type="spellEnd"/>
      <w:r w:rsidRPr="00972184">
        <w:rPr>
          <w:rFonts w:ascii="Arial" w:eastAsia="Calibri" w:hAnsi="Arial" w:cs="Arial"/>
          <w:sz w:val="24"/>
          <w:szCs w:val="24"/>
        </w:rPr>
        <w:t xml:space="preserve">, Lokve, </w:t>
      </w:r>
      <w:proofErr w:type="spellStart"/>
      <w:r w:rsidRPr="00972184">
        <w:rPr>
          <w:rFonts w:ascii="Arial" w:eastAsia="Calibri" w:hAnsi="Arial" w:cs="Arial"/>
          <w:sz w:val="24"/>
          <w:szCs w:val="24"/>
        </w:rPr>
        <w:t>Mrkopalj</w:t>
      </w:r>
      <w:proofErr w:type="spellEnd"/>
      <w:r w:rsidRPr="00972184">
        <w:rPr>
          <w:rFonts w:ascii="Arial" w:eastAsia="Calibri" w:hAnsi="Arial" w:cs="Arial"/>
          <w:sz w:val="24"/>
          <w:szCs w:val="24"/>
        </w:rPr>
        <w:t>, Ravna Gora, Skrad, Vinodolska općina, Klana, Jelenje i Čavle</w:t>
      </w:r>
      <w:r>
        <w:rPr>
          <w:rFonts w:ascii="Arial" w:eastAsia="Calibri" w:hAnsi="Arial" w:cs="Arial"/>
          <w:sz w:val="24"/>
          <w:szCs w:val="24"/>
        </w:rPr>
        <w:t xml:space="preserve"> (Projektno područje).</w:t>
      </w: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05174F" w:rsidRDefault="00B033A1" w:rsidP="00B033A1">
      <w:pPr>
        <w:spacing w:after="0" w:line="240" w:lineRule="auto"/>
        <w:ind w:left="4247" w:firstLine="1"/>
        <w:jc w:val="both"/>
        <w:rPr>
          <w:rFonts w:ascii="Arial" w:eastAsia="Calibri" w:hAnsi="Arial" w:cs="Arial"/>
          <w:b/>
          <w:sz w:val="24"/>
          <w:szCs w:val="24"/>
        </w:rPr>
      </w:pPr>
      <w:r w:rsidRPr="0005174F">
        <w:rPr>
          <w:rFonts w:ascii="Arial" w:eastAsia="Calibri" w:hAnsi="Arial" w:cs="Arial"/>
          <w:b/>
          <w:sz w:val="24"/>
          <w:szCs w:val="24"/>
        </w:rPr>
        <w:t xml:space="preserve">    III.</w:t>
      </w:r>
    </w:p>
    <w:p w:rsidR="00B033A1" w:rsidRPr="002C20A2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20A2">
        <w:rPr>
          <w:rFonts w:ascii="Arial" w:eastAsia="Calibri" w:hAnsi="Arial" w:cs="Arial"/>
          <w:sz w:val="24"/>
          <w:szCs w:val="24"/>
        </w:rPr>
        <w:t xml:space="preserve">Primorsko-goranska županija je </w:t>
      </w:r>
      <w:r>
        <w:rPr>
          <w:rFonts w:ascii="Arial" w:eastAsia="Calibri" w:hAnsi="Arial" w:cs="Arial"/>
          <w:sz w:val="24"/>
          <w:szCs w:val="24"/>
        </w:rPr>
        <w:t xml:space="preserve">za nabavu električnih ograda </w:t>
      </w:r>
      <w:r w:rsidRPr="002C20A2">
        <w:rPr>
          <w:rFonts w:ascii="Arial" w:eastAsia="Calibri" w:hAnsi="Arial" w:cs="Arial"/>
          <w:sz w:val="24"/>
          <w:szCs w:val="24"/>
        </w:rPr>
        <w:t xml:space="preserve">osigurala iznos od </w:t>
      </w:r>
      <w:r>
        <w:rPr>
          <w:rFonts w:ascii="Arial" w:eastAsia="Calibri" w:hAnsi="Arial" w:cs="Arial"/>
          <w:sz w:val="24"/>
          <w:szCs w:val="24"/>
        </w:rPr>
        <w:t>222</w:t>
      </w:r>
      <w:r w:rsidRPr="002C20A2">
        <w:rPr>
          <w:rFonts w:ascii="Arial" w:eastAsia="Calibri" w:hAnsi="Arial" w:cs="Arial"/>
          <w:sz w:val="24"/>
          <w:szCs w:val="24"/>
        </w:rPr>
        <w:t xml:space="preserve">.000,00 kuna od čega se 85% financira iz Europskog fonda za regionalni razvoj, a 15% iz proračuna Primorsko-goranske županije. </w:t>
      </w:r>
    </w:p>
    <w:p w:rsidR="00B033A1" w:rsidRPr="00EC3903" w:rsidRDefault="00B033A1" w:rsidP="00B033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EC3903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</w:t>
      </w:r>
      <w:r w:rsidRPr="00EC3903">
        <w:rPr>
          <w:rFonts w:ascii="Arial" w:eastAsia="Times New Roman" w:hAnsi="Arial" w:cs="Arial"/>
          <w:b/>
          <w:sz w:val="24"/>
          <w:szCs w:val="24"/>
          <w:lang w:eastAsia="hr-HR"/>
        </w:rPr>
        <w:t>V.</w:t>
      </w:r>
    </w:p>
    <w:p w:rsidR="00B033A1" w:rsidRPr="00EC3903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</w:rPr>
      </w:pPr>
      <w:r w:rsidRPr="00EC3903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EC3903">
        <w:rPr>
          <w:rFonts w:ascii="Arial" w:eastAsia="Calibri" w:hAnsi="Arial" w:cs="Arial"/>
          <w:sz w:val="24"/>
          <w:szCs w:val="24"/>
        </w:rPr>
        <w:t>Prihvatljivi prijavitelji na natječaj su udruge</w:t>
      </w:r>
      <w:r w:rsidRPr="00EC3903">
        <w:rPr>
          <w:rFonts w:ascii="Arial" w:eastAsia="Calibri" w:hAnsi="Arial" w:cs="Arial"/>
        </w:rPr>
        <w:t xml:space="preserve"> </w:t>
      </w:r>
      <w:r w:rsidRPr="00EC3903">
        <w:rPr>
          <w:rFonts w:ascii="Arial" w:eastAsia="Calibri" w:hAnsi="Arial" w:cs="Arial"/>
          <w:sz w:val="24"/>
          <w:szCs w:val="24"/>
        </w:rPr>
        <w:t xml:space="preserve">pčelara sa sjedištem na </w:t>
      </w:r>
      <w:r>
        <w:rPr>
          <w:rFonts w:ascii="Arial" w:eastAsia="Calibri" w:hAnsi="Arial" w:cs="Arial"/>
          <w:sz w:val="24"/>
          <w:szCs w:val="24"/>
        </w:rPr>
        <w:t>P</w:t>
      </w:r>
      <w:r w:rsidRPr="00EC3903">
        <w:rPr>
          <w:rFonts w:ascii="Arial" w:eastAsia="Calibri" w:hAnsi="Arial" w:cs="Arial"/>
          <w:sz w:val="24"/>
          <w:szCs w:val="24"/>
        </w:rPr>
        <w:t>rojektnom području</w:t>
      </w:r>
      <w:r>
        <w:rPr>
          <w:rFonts w:ascii="Arial" w:eastAsia="Calibri" w:hAnsi="Arial" w:cs="Arial"/>
          <w:sz w:val="24"/>
          <w:szCs w:val="24"/>
        </w:rPr>
        <w:t xml:space="preserve"> iz točke II. ovog Natječaja,</w:t>
      </w:r>
      <w:r w:rsidRPr="00EC390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to u sljedećim </w:t>
      </w:r>
      <w:r>
        <w:rPr>
          <w:rFonts w:ascii="Arial" w:eastAsia="Times New Roman" w:hAnsi="Arial" w:cs="Times New Roman"/>
          <w:noProof/>
          <w:sz w:val="24"/>
          <w:szCs w:val="20"/>
        </w:rPr>
        <w:t>gradovima</w:t>
      </w:r>
      <w:r w:rsidRPr="00EC3903">
        <w:rPr>
          <w:rFonts w:ascii="Arial" w:eastAsia="Times New Roman" w:hAnsi="Arial" w:cs="Times New Roman"/>
          <w:noProof/>
          <w:sz w:val="24"/>
          <w:szCs w:val="20"/>
        </w:rPr>
        <w:t xml:space="preserve"> i općina</w:t>
      </w:r>
      <w:r>
        <w:rPr>
          <w:rFonts w:ascii="Arial" w:eastAsia="Times New Roman" w:hAnsi="Arial" w:cs="Times New Roman"/>
          <w:noProof/>
          <w:sz w:val="24"/>
          <w:szCs w:val="20"/>
        </w:rPr>
        <w:t>ma</w:t>
      </w:r>
      <w:r w:rsidRPr="00EC3903">
        <w:rPr>
          <w:rFonts w:ascii="Arial" w:eastAsia="Times New Roman" w:hAnsi="Arial" w:cs="Times New Roman"/>
          <w:noProof/>
          <w:sz w:val="24"/>
          <w:szCs w:val="20"/>
        </w:rPr>
        <w:t>: Grad Čabar, Grad Delnice, Grad Vrbovsko, Općina Lokve, Općina Mrkopalj, Općina Fužine, Općina Skrad, Općina Brod Moravice, Općina Ravna Gora te Općina Vinodolska, Grad Novi Vinodolski, Grad Bakar, Općina Klana</w:t>
      </w:r>
      <w:r>
        <w:rPr>
          <w:rFonts w:ascii="Arial" w:eastAsia="Times New Roman" w:hAnsi="Arial" w:cs="Times New Roman"/>
          <w:noProof/>
          <w:sz w:val="24"/>
          <w:szCs w:val="20"/>
        </w:rPr>
        <w:t>, Općina Jelenje i Općina Čavle</w:t>
      </w:r>
      <w:r w:rsidRPr="00EC3903">
        <w:rPr>
          <w:rFonts w:ascii="Arial" w:eastAsia="Times New Roman" w:hAnsi="Arial" w:cs="Times New Roman"/>
          <w:noProof/>
          <w:sz w:val="24"/>
          <w:szCs w:val="20"/>
        </w:rPr>
        <w:t xml:space="preserve">.  </w:t>
      </w:r>
    </w:p>
    <w:p w:rsidR="00B033A1" w:rsidRPr="002C20A2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EC3903">
        <w:rPr>
          <w:rFonts w:ascii="Arial" w:eastAsia="Calibri" w:hAnsi="Arial" w:cs="Arial"/>
          <w:sz w:val="24"/>
          <w:szCs w:val="24"/>
        </w:rPr>
        <w:tab/>
        <w:t>Prihvatljivi prijavitelji moraju ispunjavati i druge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C3903">
        <w:rPr>
          <w:rFonts w:ascii="Arial" w:eastAsia="Calibri" w:hAnsi="Arial" w:cs="Arial"/>
          <w:sz w:val="24"/>
          <w:szCs w:val="24"/>
        </w:rPr>
        <w:t>uvjete propisane Uputama za prijavitelje.</w:t>
      </w:r>
    </w:p>
    <w:p w:rsidR="00B033A1" w:rsidRPr="002C20A2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3A9B">
        <w:rPr>
          <w:rFonts w:ascii="Arial" w:eastAsia="Calibri" w:hAnsi="Arial" w:cs="Arial"/>
          <w:b/>
          <w:sz w:val="24"/>
          <w:szCs w:val="24"/>
        </w:rPr>
        <w:t>V.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Calibri" w:hAnsi="Arial" w:cs="Arial"/>
          <w:sz w:val="24"/>
          <w:szCs w:val="24"/>
        </w:rPr>
        <w:tab/>
        <w:t xml:space="preserve">Sadržaj i način podnošenja prijava, postupak za otvaranje, pregled i ocjenu ponuda, kriteriji za odabir, </w:t>
      </w:r>
      <w:r w:rsidRPr="001D3A9B">
        <w:rPr>
          <w:rFonts w:ascii="Arial" w:eastAsia="Times New Roman" w:hAnsi="Arial" w:cs="Arial"/>
          <w:sz w:val="24"/>
          <w:szCs w:val="24"/>
        </w:rPr>
        <w:t xml:space="preserve">posebne obveze koje preuzimaju odabrani ponuditelji i sve ostale informacije vezane za ovaj natječaj propisane su u Uputi za prijavitelje i ostaloj dokumentaciji za provedbu natječaja. </w:t>
      </w:r>
    </w:p>
    <w:p w:rsidR="00B033A1" w:rsidRPr="001D3A9B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D3A9B">
        <w:rPr>
          <w:rFonts w:ascii="Arial" w:eastAsia="Times New Roman" w:hAnsi="Arial" w:cs="Arial"/>
          <w:b/>
          <w:sz w:val="24"/>
          <w:szCs w:val="24"/>
        </w:rPr>
        <w:lastRenderedPageBreak/>
        <w:t>VI.</w:t>
      </w:r>
    </w:p>
    <w:p w:rsidR="00B033A1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Times New Roman" w:hAnsi="Arial" w:cs="Arial"/>
          <w:sz w:val="24"/>
          <w:szCs w:val="24"/>
        </w:rPr>
        <w:tab/>
      </w:r>
      <w:r w:rsidRPr="001D3A9B">
        <w:rPr>
          <w:rFonts w:ascii="Arial" w:eastAsia="Calibri" w:hAnsi="Arial" w:cs="Arial"/>
          <w:sz w:val="24"/>
          <w:szCs w:val="24"/>
        </w:rPr>
        <w:t>Rok za dostavu prijava je 30 dana od dana objave natječaja na mrežnoj stranici Primorsko-goranske županije (</w:t>
      </w:r>
      <w:hyperlink r:id="rId6" w:history="1">
        <w:r w:rsidRPr="001D3A9B">
          <w:rPr>
            <w:rFonts w:ascii="Arial" w:eastAsia="Calibri" w:hAnsi="Arial" w:cs="Arial"/>
            <w:sz w:val="24"/>
            <w:szCs w:val="24"/>
            <w:u w:val="single"/>
          </w:rPr>
          <w:t>www.pgz.hr</w:t>
        </w:r>
      </w:hyperlink>
      <w:r>
        <w:rPr>
          <w:rFonts w:ascii="Arial" w:eastAsia="Calibri" w:hAnsi="Arial" w:cs="Arial"/>
          <w:sz w:val="24"/>
          <w:szCs w:val="24"/>
        </w:rPr>
        <w:t xml:space="preserve"> , poveznica „Natječaji“</w:t>
      </w:r>
      <w:r w:rsidRPr="001D3A9B">
        <w:rPr>
          <w:rFonts w:ascii="Arial" w:eastAsia="Calibri" w:hAnsi="Arial" w:cs="Arial"/>
          <w:sz w:val="24"/>
          <w:szCs w:val="24"/>
        </w:rPr>
        <w:t>, „Financiranje udruga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3A9B">
        <w:rPr>
          <w:rFonts w:ascii="Arial" w:eastAsia="Calibri" w:hAnsi="Arial" w:cs="Arial"/>
          <w:sz w:val="24"/>
          <w:szCs w:val="24"/>
        </w:rPr>
        <w:t>i ostalih neprofitnih organizacija - javni pozivi“).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1D3A9B" w:rsidRDefault="00B033A1" w:rsidP="00B033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3A9B">
        <w:rPr>
          <w:rFonts w:ascii="Arial" w:eastAsia="Calibri" w:hAnsi="Arial" w:cs="Arial"/>
          <w:b/>
          <w:sz w:val="24"/>
          <w:szCs w:val="24"/>
        </w:rPr>
        <w:t>VII.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Calibri" w:hAnsi="Arial" w:cs="Arial"/>
          <w:sz w:val="24"/>
          <w:szCs w:val="24"/>
        </w:rPr>
        <w:tab/>
        <w:t xml:space="preserve">Prijava se dostavlja u pisanom obliku na adresu Primorsko-goranske županije, Upravnog odjela za turizam, poduzetništvo i ruralni razvoj, </w:t>
      </w:r>
      <w:proofErr w:type="spellStart"/>
      <w:r w:rsidRPr="001D3A9B">
        <w:rPr>
          <w:rFonts w:ascii="Arial" w:eastAsia="Calibri" w:hAnsi="Arial" w:cs="Arial"/>
          <w:sz w:val="24"/>
          <w:szCs w:val="24"/>
        </w:rPr>
        <w:t>Slogin</w:t>
      </w:r>
      <w:proofErr w:type="spellEnd"/>
      <w:r w:rsidRPr="001D3A9B">
        <w:rPr>
          <w:rFonts w:ascii="Arial" w:eastAsia="Calibri" w:hAnsi="Arial" w:cs="Arial"/>
          <w:sz w:val="24"/>
          <w:szCs w:val="24"/>
        </w:rPr>
        <w:t xml:space="preserve"> kula 2, 51000 Rijeka, sukladno pravilima propisanim u Uputi za prijavitelje.</w:t>
      </w:r>
    </w:p>
    <w:p w:rsidR="00B033A1" w:rsidRPr="0033120F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33120F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VIII</w:t>
      </w:r>
      <w:r w:rsidRPr="0033120F">
        <w:rPr>
          <w:rFonts w:ascii="Arial" w:eastAsia="Calibri" w:hAnsi="Arial" w:cs="Arial"/>
          <w:b/>
          <w:noProof/>
          <w:sz w:val="24"/>
          <w:szCs w:val="24"/>
        </w:rPr>
        <w:t>.</w:t>
      </w:r>
    </w:p>
    <w:p w:rsidR="00B033A1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120F">
        <w:rPr>
          <w:rFonts w:ascii="Arial" w:eastAsia="Calibri" w:hAnsi="Arial" w:cs="Arial"/>
          <w:sz w:val="24"/>
          <w:szCs w:val="24"/>
        </w:rPr>
        <w:t xml:space="preserve">Odlukom o odabiru utvrdit će se odabrani prijavitelji i </w:t>
      </w:r>
      <w:r w:rsidRPr="00506F48">
        <w:rPr>
          <w:rFonts w:ascii="Arial" w:eastAsia="Calibri" w:hAnsi="Arial" w:cs="Arial"/>
          <w:sz w:val="24"/>
          <w:szCs w:val="24"/>
        </w:rPr>
        <w:t>broj električnih ograda dodijeljenih pojedinom prijavitelju</w:t>
      </w:r>
      <w:r>
        <w:rPr>
          <w:rFonts w:ascii="Arial" w:eastAsia="Calibri" w:hAnsi="Arial" w:cs="Arial"/>
          <w:sz w:val="24"/>
          <w:szCs w:val="24"/>
        </w:rPr>
        <w:t>.</w:t>
      </w:r>
    </w:p>
    <w:p w:rsidR="00B033A1" w:rsidRPr="00E5722A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3A9B">
        <w:rPr>
          <w:rFonts w:ascii="Arial" w:eastAsia="Calibri" w:hAnsi="Arial" w:cs="Arial"/>
          <w:sz w:val="24"/>
          <w:szCs w:val="24"/>
        </w:rPr>
        <w:t xml:space="preserve">Odluka o odabiru objavit će se na mrežnoj-stranici Primorsko-goranske županije </w:t>
      </w:r>
      <w:r w:rsidRPr="00E5722A">
        <w:rPr>
          <w:rFonts w:ascii="Arial" w:eastAsia="Calibri" w:hAnsi="Arial" w:cs="Arial"/>
          <w:sz w:val="24"/>
          <w:szCs w:val="24"/>
        </w:rPr>
        <w:t>(</w:t>
      </w:r>
      <w:hyperlink r:id="rId7" w:history="1">
        <w:r w:rsidRPr="00E5722A">
          <w:rPr>
            <w:rFonts w:ascii="Arial" w:eastAsia="Calibri" w:hAnsi="Arial" w:cs="Arial"/>
            <w:sz w:val="24"/>
            <w:szCs w:val="24"/>
            <w:u w:val="single"/>
          </w:rPr>
          <w:t>www.pgz.hr</w:t>
        </w:r>
      </w:hyperlink>
      <w:r w:rsidRPr="00E5722A">
        <w:rPr>
          <w:rFonts w:ascii="Arial" w:eastAsia="Calibri" w:hAnsi="Arial" w:cs="Arial"/>
          <w:sz w:val="24"/>
          <w:szCs w:val="24"/>
        </w:rPr>
        <w:t>).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Pr="001D3A9B">
        <w:rPr>
          <w:rFonts w:ascii="Arial" w:eastAsia="Calibri" w:hAnsi="Arial" w:cs="Arial"/>
          <w:b/>
          <w:sz w:val="24"/>
          <w:szCs w:val="24"/>
        </w:rPr>
        <w:t>X.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1D3A9B">
        <w:rPr>
          <w:rFonts w:ascii="Arial" w:eastAsia="Calibri" w:hAnsi="Arial" w:cs="Arial"/>
          <w:noProof/>
          <w:sz w:val="24"/>
          <w:szCs w:val="24"/>
        </w:rPr>
        <w:t>Primorsko-goranska županija će s odabranim prijaviteljima sklopiti ugovor u pisanom obliku u kojem će urediti prava i obveze utvrđene ovim natječajem.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3A9B">
        <w:rPr>
          <w:rFonts w:ascii="Arial" w:eastAsia="Calibri" w:hAnsi="Arial" w:cs="Arial"/>
          <w:b/>
          <w:sz w:val="24"/>
          <w:szCs w:val="24"/>
        </w:rPr>
        <w:t>X.</w:t>
      </w:r>
    </w:p>
    <w:p w:rsidR="00B033A1" w:rsidRPr="001D3A9B" w:rsidRDefault="00B033A1" w:rsidP="00B0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Times New Roman" w:hAnsi="Arial" w:cs="Arial"/>
          <w:sz w:val="24"/>
          <w:szCs w:val="24"/>
        </w:rPr>
        <w:t xml:space="preserve">Dokumentacija za provedbu natječaja (osnova za pokretanje, upute za prijavitelje, obrasci potrebni za prijavu na ovaj natječaj, nacrt ugovora koji će se sklopiti s odabranim ponuditeljima i dr.) dostupna je na </w:t>
      </w:r>
      <w:r w:rsidRPr="001D3A9B">
        <w:rPr>
          <w:rFonts w:ascii="Arial" w:eastAsia="Calibri" w:hAnsi="Arial" w:cs="Arial"/>
          <w:sz w:val="24"/>
          <w:szCs w:val="24"/>
        </w:rPr>
        <w:t>mrežnim stranicama Primorsko-goranske županije iz točke V</w:t>
      </w:r>
      <w:r>
        <w:rPr>
          <w:rFonts w:ascii="Arial" w:eastAsia="Calibri" w:hAnsi="Arial" w:cs="Arial"/>
          <w:sz w:val="24"/>
          <w:szCs w:val="24"/>
        </w:rPr>
        <w:t>I</w:t>
      </w:r>
      <w:r w:rsidRPr="001D3A9B">
        <w:rPr>
          <w:rFonts w:ascii="Arial" w:eastAsia="Calibri" w:hAnsi="Arial" w:cs="Arial"/>
          <w:sz w:val="24"/>
          <w:szCs w:val="24"/>
        </w:rPr>
        <w:t>II. ovog natječaja i mrežnim stranicama Ureda za udruge Vlade Republike Hrvatske.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33A1" w:rsidRPr="001D3A9B" w:rsidRDefault="00B033A1" w:rsidP="00B033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3A9B">
        <w:rPr>
          <w:rFonts w:ascii="Arial" w:eastAsia="Times New Roman" w:hAnsi="Arial" w:cs="Arial"/>
          <w:b/>
          <w:sz w:val="24"/>
          <w:szCs w:val="24"/>
        </w:rPr>
        <w:t>XI.</w:t>
      </w:r>
    </w:p>
    <w:p w:rsidR="00B033A1" w:rsidRPr="001D3A9B" w:rsidRDefault="00B033A1" w:rsidP="00B0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3A9B">
        <w:rPr>
          <w:rFonts w:ascii="Arial" w:eastAsia="Times New Roman" w:hAnsi="Arial" w:cs="Arial"/>
          <w:sz w:val="24"/>
          <w:szCs w:val="24"/>
        </w:rPr>
        <w:tab/>
      </w:r>
      <w:r w:rsidRPr="001D3A9B">
        <w:rPr>
          <w:rFonts w:ascii="Arial" w:eastAsia="Calibri" w:hAnsi="Arial" w:cs="Arial"/>
          <w:sz w:val="24"/>
          <w:szCs w:val="24"/>
        </w:rPr>
        <w:t xml:space="preserve">Dodatne informacije i obrazloženja u vezi s ovim natječajem mogu se dobiti  u Upravnom odjelu za turizam, poduzetništvo i ruralni razvoj Primorsko-goranske županije, </w:t>
      </w:r>
      <w:proofErr w:type="spellStart"/>
      <w:r w:rsidRPr="001D3A9B">
        <w:rPr>
          <w:rFonts w:ascii="Arial" w:eastAsia="Calibri" w:hAnsi="Arial" w:cs="Arial"/>
          <w:sz w:val="24"/>
          <w:szCs w:val="24"/>
        </w:rPr>
        <w:t>Slogin</w:t>
      </w:r>
      <w:proofErr w:type="spellEnd"/>
      <w:r w:rsidRPr="001D3A9B">
        <w:rPr>
          <w:rFonts w:ascii="Arial" w:eastAsia="Calibri" w:hAnsi="Arial" w:cs="Arial"/>
          <w:sz w:val="24"/>
          <w:szCs w:val="24"/>
        </w:rPr>
        <w:t xml:space="preserve"> kula 2, 51000 Rijeka, broj telefona 051/351-260, e-pošta: gospodarstvo@</w:t>
      </w:r>
      <w:proofErr w:type="spellStart"/>
      <w:r w:rsidRPr="001D3A9B">
        <w:rPr>
          <w:rFonts w:ascii="Arial" w:eastAsia="Calibri" w:hAnsi="Arial" w:cs="Arial"/>
          <w:sz w:val="24"/>
          <w:szCs w:val="24"/>
        </w:rPr>
        <w:t>pgz.hr</w:t>
      </w:r>
      <w:proofErr w:type="spellEnd"/>
      <w:r w:rsidRPr="001D3A9B">
        <w:rPr>
          <w:rFonts w:ascii="Arial" w:eastAsia="Calibri" w:hAnsi="Arial" w:cs="Arial"/>
          <w:sz w:val="24"/>
          <w:szCs w:val="24"/>
        </w:rPr>
        <w:t>.</w:t>
      </w:r>
    </w:p>
    <w:p w:rsidR="00B033A1" w:rsidRDefault="00B033A1" w:rsidP="00B033A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033A1" w:rsidRDefault="00B033A1" w:rsidP="00B033A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931B0" w:rsidRDefault="00B033A1"/>
    <w:sectPr w:rsidR="0069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1"/>
    <w:rsid w:val="005B5AAE"/>
    <w:rsid w:val="00A35C68"/>
    <w:rsid w:val="00B033A1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1</cp:revision>
  <dcterms:created xsi:type="dcterms:W3CDTF">2019-08-01T13:49:00Z</dcterms:created>
  <dcterms:modified xsi:type="dcterms:W3CDTF">2019-08-01T13:56:00Z</dcterms:modified>
</cp:coreProperties>
</file>