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Spec="center" w:tblpY="1658"/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544"/>
        <w:gridCol w:w="570"/>
        <w:gridCol w:w="692"/>
        <w:gridCol w:w="3282"/>
        <w:gridCol w:w="659"/>
      </w:tblGrid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I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DJELATNOSTI PRUŽANJA SMJEŠTAJA TE PRIPREME I USLUŽIVANJA HRANE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Smještaj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55.1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Hoteli i sličan smještaj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55.10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Hoteli i sličan smještaj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55.10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55.2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Odmarališta i slični objekti za kraći odmor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55.20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Odmarališta i slični objekti za kraći odmor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55.20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55.3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  <w:spacing w:val="-4"/>
              </w:rPr>
              <w:t>Kampovi i prostori za kampiranje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55.30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Kampovi i prostori za kampiranje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55.30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55.9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Ostali smještaj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55.90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Ostali smještaj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55.90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Djelatnosti pripreme i usluživanja hrane i pića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56.1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Djelatnosti restorana i ostalih objekata za pripremu i usluživanje hrane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56.10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Djelatnosti restorana i ostalih objekata za pripremu i usluživanje hrane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56.10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56.3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b/>
                <w:bCs/>
                <w:color w:val="000000"/>
              </w:rPr>
              <w:t>Djelatnosti pripreme i usluživanja pića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</w:tr>
      <w:tr w:rsidR="00197C03" w:rsidRPr="00197C03" w:rsidTr="00197C03">
        <w:trPr>
          <w:trHeight w:val="66"/>
        </w:trPr>
        <w:tc>
          <w:tcPr>
            <w:tcW w:w="4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100" w:afterAutospacing="1" w:line="6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56.30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45" w:type="dxa"/>
              <w:left w:w="45" w:type="dxa"/>
              <w:bottom w:w="57" w:type="dxa"/>
              <w:right w:w="45" w:type="dxa"/>
            </w:tcMar>
            <w:hideMark/>
          </w:tcPr>
          <w:p w:rsidR="00197C03" w:rsidRPr="00197C03" w:rsidRDefault="00197C03" w:rsidP="00197C03">
            <w:pPr>
              <w:spacing w:before="100" w:beforeAutospacing="1" w:after="43" w:line="66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C03">
              <w:rPr>
                <w:rFonts w:ascii="Minion Pro Cond" w:eastAsia="Times New Roman" w:hAnsi="Minion Pro Cond" w:cs="Times New Roman"/>
                <w:color w:val="000000"/>
              </w:rPr>
              <w:t>Djelatnosti pripreme i usluživanja pića</w:t>
            </w:r>
          </w:p>
        </w:tc>
        <w:tc>
          <w:tcPr>
            <w:tcW w:w="0" w:type="auto"/>
            <w:vAlign w:val="center"/>
            <w:hideMark/>
          </w:tcPr>
          <w:p w:rsidR="00197C03" w:rsidRPr="00197C03" w:rsidRDefault="00197C03" w:rsidP="0019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7C03" w:rsidRDefault="00197C03" w:rsidP="00197C03">
      <w:pPr>
        <w:jc w:val="center"/>
        <w:rPr>
          <w:rFonts w:ascii="Arial" w:hAnsi="Arial" w:cs="Arial"/>
          <w:b/>
          <w:sz w:val="28"/>
          <w:szCs w:val="28"/>
        </w:rPr>
      </w:pPr>
    </w:p>
    <w:p w:rsidR="003170AB" w:rsidRPr="00197C03" w:rsidRDefault="00197C03" w:rsidP="00197C03">
      <w:pPr>
        <w:jc w:val="center"/>
        <w:rPr>
          <w:sz w:val="28"/>
          <w:szCs w:val="28"/>
        </w:rPr>
      </w:pPr>
      <w:r w:rsidRPr="00197C03">
        <w:rPr>
          <w:rFonts w:ascii="Arial" w:hAnsi="Arial" w:cs="Arial"/>
          <w:b/>
          <w:sz w:val="28"/>
          <w:szCs w:val="28"/>
        </w:rPr>
        <w:t xml:space="preserve">Izvadak iz </w:t>
      </w:r>
      <w:r>
        <w:rPr>
          <w:rFonts w:ascii="Arial" w:hAnsi="Arial" w:cs="Arial"/>
          <w:b/>
          <w:sz w:val="28"/>
          <w:szCs w:val="28"/>
        </w:rPr>
        <w:t>N</w:t>
      </w:r>
      <w:r w:rsidRPr="00197C03">
        <w:rPr>
          <w:rFonts w:ascii="Arial" w:hAnsi="Arial" w:cs="Arial"/>
          <w:b/>
          <w:sz w:val="28"/>
          <w:szCs w:val="28"/>
        </w:rPr>
        <w:t>acionalne klasifikacije djelatnosti 2007. – NKD 2007.</w:t>
      </w:r>
    </w:p>
    <w:sectPr w:rsidR="003170AB" w:rsidRPr="00197C03" w:rsidSect="0031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197C03"/>
    <w:rsid w:val="00197C03"/>
    <w:rsid w:val="0031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1</cp:revision>
  <dcterms:created xsi:type="dcterms:W3CDTF">2016-02-02T08:18:00Z</dcterms:created>
  <dcterms:modified xsi:type="dcterms:W3CDTF">2016-02-02T08:21:00Z</dcterms:modified>
</cp:coreProperties>
</file>