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B" w:rsidRPr="00B9744F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B659CB" w:rsidRPr="00B9744F" w:rsidTr="00BD6D1B">
        <w:trPr>
          <w:trHeight w:val="545"/>
        </w:trPr>
        <w:tc>
          <w:tcPr>
            <w:tcW w:w="46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18"/>
            </w:tblGrid>
            <w:tr w:rsidR="00B659CB" w:rsidRPr="00B9744F" w:rsidTr="00BD6D1B">
              <w:trPr>
                <w:trHeight w:val="545"/>
              </w:trPr>
              <w:tc>
                <w:tcPr>
                  <w:tcW w:w="4618" w:type="dxa"/>
                </w:tcPr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i/>
                      <w:noProof/>
                      <w:szCs w:val="24"/>
                      <w:lang w:eastAsia="hr-HR"/>
                    </w:rPr>
                    <w:drawing>
                      <wp:inline distT="0" distB="0" distL="0" distR="0" wp14:anchorId="5AE0B127" wp14:editId="78F90526">
                        <wp:extent cx="400050" cy="45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59CB" w:rsidRPr="00B9744F" w:rsidTr="00BD6D1B">
              <w:trPr>
                <w:trHeight w:val="200"/>
              </w:trPr>
              <w:tc>
                <w:tcPr>
                  <w:tcW w:w="4618" w:type="dxa"/>
                </w:tcPr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  <w:r>
                    <w:rPr>
                      <w:rFonts w:eastAsia="Times New Roman" w:cs="Arial"/>
                      <w:i/>
                      <w:noProof/>
                      <w:szCs w:val="24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0F5B7745" wp14:editId="42FB4997">
                        <wp:simplePos x="0" y="0"/>
                        <wp:positionH relativeFrom="column">
                          <wp:posOffset>-257175</wp:posOffset>
                        </wp:positionH>
                        <wp:positionV relativeFrom="paragraph">
                          <wp:posOffset>2540</wp:posOffset>
                        </wp:positionV>
                        <wp:extent cx="292735" cy="358140"/>
                        <wp:effectExtent l="0" t="0" r="0" b="3810"/>
                        <wp:wrapNone/>
                        <wp:docPr id="2" name="Picture 2" descr="grb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9744F">
                    <w:rPr>
                      <w:rFonts w:eastAsia="Times New Roman" w:cs="Arial"/>
                      <w:b/>
                      <w:szCs w:val="24"/>
                    </w:rPr>
                    <w:t>REPUBLIKA HRVATSKA</w:t>
                  </w:r>
                </w:p>
              </w:tc>
            </w:tr>
            <w:tr w:rsidR="00B659CB" w:rsidRPr="00B9744F" w:rsidTr="00BD6D1B">
              <w:trPr>
                <w:trHeight w:val="200"/>
              </w:trPr>
              <w:tc>
                <w:tcPr>
                  <w:tcW w:w="4618" w:type="dxa"/>
                </w:tcPr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Cs w:val="24"/>
                    </w:rPr>
                  </w:pPr>
                  <w:r w:rsidRPr="00B9744F">
                    <w:rPr>
                      <w:rFonts w:eastAsia="Times New Roman" w:cs="Arial"/>
                      <w:szCs w:val="24"/>
                    </w:rPr>
                    <w:t>PRIMORSKO-GORANSKA ŽUPANIJA</w:t>
                  </w:r>
                </w:p>
              </w:tc>
            </w:tr>
            <w:tr w:rsidR="00B659CB" w:rsidRPr="00B9744F" w:rsidTr="00BD6D1B">
              <w:trPr>
                <w:trHeight w:val="567"/>
              </w:trPr>
              <w:tc>
                <w:tcPr>
                  <w:tcW w:w="4618" w:type="dxa"/>
                </w:tcPr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Cs/>
                      <w:color w:val="333333"/>
                      <w:szCs w:val="24"/>
                    </w:rPr>
                  </w:pPr>
                  <w:r w:rsidRPr="00B9744F">
                    <w:rPr>
                      <w:rFonts w:eastAsia="Times New Roman" w:cs="Arial"/>
                      <w:bCs/>
                      <w:color w:val="333333"/>
                      <w:szCs w:val="24"/>
                    </w:rPr>
                    <w:t>UPRAVNI ODJEL ZA PROSTORNO UREĐENJE, GRADITELJSTVO</w:t>
                  </w:r>
                </w:p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Cs/>
                      <w:color w:val="333333"/>
                      <w:szCs w:val="24"/>
                    </w:rPr>
                  </w:pPr>
                  <w:r w:rsidRPr="00B9744F">
                    <w:rPr>
                      <w:rFonts w:eastAsia="Times New Roman" w:cs="Arial"/>
                      <w:bCs/>
                      <w:color w:val="333333"/>
                      <w:szCs w:val="24"/>
                    </w:rPr>
                    <w:t>I ZAŠTITU OKOLIŠA</w:t>
                  </w:r>
                </w:p>
              </w:tc>
            </w:tr>
            <w:tr w:rsidR="00B659CB" w:rsidRPr="00B9744F" w:rsidTr="00BD6D1B">
              <w:trPr>
                <w:trHeight w:val="80"/>
              </w:trPr>
              <w:tc>
                <w:tcPr>
                  <w:tcW w:w="4618" w:type="dxa"/>
                </w:tcPr>
                <w:p w:rsidR="00B659CB" w:rsidRPr="00B9744F" w:rsidRDefault="00B659CB" w:rsidP="00BD6D1B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both"/>
                    <w:rPr>
                      <w:rFonts w:eastAsia="Times New Roman" w:cs="Arial"/>
                      <w:b/>
                      <w:szCs w:val="24"/>
                    </w:rPr>
                  </w:pPr>
                </w:p>
              </w:tc>
            </w:tr>
          </w:tbl>
          <w:p w:rsidR="00B659CB" w:rsidRPr="00B9744F" w:rsidRDefault="00B659CB" w:rsidP="00BD6D1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59CB" w:rsidRPr="00B9744F" w:rsidTr="00BD6D1B">
        <w:trPr>
          <w:trHeight w:val="940"/>
        </w:trPr>
        <w:tc>
          <w:tcPr>
            <w:tcW w:w="4618" w:type="dxa"/>
          </w:tcPr>
          <w:p w:rsidR="00B659CB" w:rsidRPr="00B9744F" w:rsidRDefault="00B659CB" w:rsidP="00BD6D1B">
            <w:pPr>
              <w:spacing w:line="240" w:lineRule="auto"/>
              <w:jc w:val="both"/>
              <w:rPr>
                <w:rFonts w:eastAsia="Times New Roman" w:cs="Arial"/>
                <w:iCs/>
                <w:szCs w:val="24"/>
                <w:lang w:eastAsia="hr-HR"/>
              </w:rPr>
            </w:pPr>
            <w:r>
              <w:rPr>
                <w:rFonts w:eastAsia="Times New Roman" w:cs="Arial"/>
                <w:iCs/>
                <w:szCs w:val="24"/>
                <w:lang w:eastAsia="hr-HR"/>
              </w:rPr>
              <w:t>KLASA: 351-01/17-01</w:t>
            </w:r>
            <w:r w:rsidRPr="00B9744F">
              <w:rPr>
                <w:rFonts w:eastAsia="Times New Roman" w:cs="Arial"/>
                <w:iCs/>
                <w:szCs w:val="24"/>
                <w:lang w:eastAsia="hr-HR"/>
              </w:rPr>
              <w:t>/</w:t>
            </w:r>
            <w:r>
              <w:rPr>
                <w:rFonts w:eastAsia="Times New Roman" w:cs="Arial"/>
                <w:iCs/>
                <w:szCs w:val="24"/>
                <w:lang w:eastAsia="hr-HR"/>
              </w:rPr>
              <w:t>31</w:t>
            </w:r>
          </w:p>
          <w:p w:rsidR="00B659CB" w:rsidRPr="00B9744F" w:rsidRDefault="00B659CB" w:rsidP="00BD6D1B">
            <w:pPr>
              <w:spacing w:line="240" w:lineRule="auto"/>
              <w:jc w:val="both"/>
              <w:rPr>
                <w:rFonts w:eastAsia="Times New Roman" w:cs="Arial"/>
                <w:iCs/>
                <w:szCs w:val="24"/>
                <w:lang w:eastAsia="hr-HR"/>
              </w:rPr>
            </w:pPr>
            <w:r w:rsidRPr="00B9744F">
              <w:rPr>
                <w:rFonts w:eastAsia="Times New Roman" w:cs="Arial"/>
                <w:iCs/>
                <w:szCs w:val="24"/>
                <w:lang w:eastAsia="hr-HR"/>
              </w:rPr>
              <w:t>URBROJ: 2170/1-03-08/</w:t>
            </w:r>
            <w:r>
              <w:rPr>
                <w:rFonts w:eastAsia="Times New Roman" w:cs="Arial"/>
                <w:iCs/>
                <w:szCs w:val="24"/>
                <w:lang w:eastAsia="hr-HR"/>
              </w:rPr>
              <w:t>7-17</w:t>
            </w:r>
            <w:r w:rsidR="0063064E">
              <w:rPr>
                <w:rFonts w:eastAsia="Times New Roman" w:cs="Arial"/>
                <w:iCs/>
                <w:szCs w:val="24"/>
                <w:lang w:eastAsia="hr-HR"/>
              </w:rPr>
              <w:t>-2</w:t>
            </w:r>
          </w:p>
          <w:p w:rsidR="00B659CB" w:rsidRPr="00B9744F" w:rsidRDefault="00B659CB" w:rsidP="0063064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B9744F">
              <w:rPr>
                <w:rFonts w:eastAsia="Times New Roman" w:cs="Arial"/>
                <w:szCs w:val="24"/>
                <w:lang w:eastAsia="hr-HR"/>
              </w:rPr>
              <w:t xml:space="preserve">Rijeka, </w:t>
            </w:r>
            <w:r w:rsidR="00C7012A">
              <w:rPr>
                <w:rFonts w:eastAsia="Times New Roman" w:cs="Arial"/>
                <w:szCs w:val="24"/>
                <w:lang w:eastAsia="hr-HR"/>
              </w:rPr>
              <w:t>18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63064E">
              <w:rPr>
                <w:rFonts w:eastAsia="Times New Roman" w:cs="Arial"/>
                <w:szCs w:val="24"/>
                <w:lang w:eastAsia="hr-HR"/>
              </w:rPr>
              <w:t>travnja</w:t>
            </w:r>
            <w:r w:rsidR="00B91C7D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Arial"/>
                <w:szCs w:val="24"/>
                <w:lang w:eastAsia="hr-HR"/>
              </w:rPr>
              <w:t>2017</w:t>
            </w:r>
            <w:r w:rsidRPr="00B9744F">
              <w:rPr>
                <w:rFonts w:eastAsia="Times New Roman" w:cs="Arial"/>
                <w:szCs w:val="24"/>
                <w:lang w:eastAsia="hr-HR"/>
              </w:rPr>
              <w:t xml:space="preserve">.  </w:t>
            </w:r>
            <w:r w:rsidRPr="00B9744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</w:tr>
    </w:tbl>
    <w:p w:rsidR="00B659CB" w:rsidRPr="00B9744F" w:rsidRDefault="00B659CB" w:rsidP="00B659CB">
      <w:pPr>
        <w:tabs>
          <w:tab w:val="left" w:pos="3855"/>
        </w:tabs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2"/>
          <w:szCs w:val="24"/>
          <w:lang w:eastAsia="hr-HR"/>
        </w:rPr>
      </w:pPr>
      <w:r w:rsidRPr="00B9744F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  <w:t xml:space="preserve">                 </w:t>
      </w: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  <w:t xml:space="preserve">                      </w:t>
      </w: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659CB" w:rsidRPr="00B9744F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b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  <w:t xml:space="preserve">                                        </w:t>
      </w:r>
      <w:r w:rsidRPr="00B9744F">
        <w:rPr>
          <w:rFonts w:eastAsia="Times New Roman" w:cs="Arial"/>
          <w:b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</w:r>
    </w:p>
    <w:p w:rsidR="00B659CB" w:rsidRPr="00B9744F" w:rsidRDefault="00B659CB" w:rsidP="00B659C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szCs w:val="24"/>
          <w:lang w:eastAsia="hr-HR"/>
        </w:rPr>
        <w:t xml:space="preserve"> </w:t>
      </w:r>
    </w:p>
    <w:p w:rsidR="00B659CB" w:rsidRDefault="00B659CB" w:rsidP="00B659CB">
      <w:p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Primorsko-goranska županija, Upravni odjel za prostorno uređenje, graditeljstvo i zaštitu okoliša na temelju članka 16., 17., 18., 19. i 20. Uredbe o informiranju javnosti i sudjelovanju javnosti i zainteresirane javnosti u pitanjima zaštite okoliša („Narodne novine“, br. 64/08) i Odluke Ministarstva zaštite okoliša i energetike</w:t>
      </w:r>
      <w:r w:rsidR="0063064E">
        <w:rPr>
          <w:rFonts w:eastAsia="Times New Roman" w:cs="Arial"/>
          <w:szCs w:val="24"/>
          <w:lang w:eastAsia="hr-HR"/>
        </w:rPr>
        <w:t xml:space="preserve"> KLASA: UP/I-351-03/16-02/124, URBROJ: 517-06-2-</w:t>
      </w:r>
      <w:proofErr w:type="spellStart"/>
      <w:r w:rsidR="0063064E">
        <w:rPr>
          <w:rFonts w:eastAsia="Times New Roman" w:cs="Arial"/>
          <w:szCs w:val="24"/>
          <w:lang w:eastAsia="hr-HR"/>
        </w:rPr>
        <w:t>2</w:t>
      </w:r>
      <w:proofErr w:type="spellEnd"/>
      <w:r w:rsidR="0063064E">
        <w:rPr>
          <w:rFonts w:eastAsia="Times New Roman" w:cs="Arial"/>
          <w:szCs w:val="24"/>
          <w:lang w:eastAsia="hr-HR"/>
        </w:rPr>
        <w:t>-1-17-5</w:t>
      </w:r>
      <w:r>
        <w:rPr>
          <w:rFonts w:eastAsia="Times New Roman" w:cs="Arial"/>
          <w:szCs w:val="24"/>
          <w:lang w:eastAsia="hr-HR"/>
        </w:rPr>
        <w:t xml:space="preserve"> od </w:t>
      </w:r>
      <w:r w:rsidR="0063064E">
        <w:rPr>
          <w:rFonts w:eastAsia="Times New Roman" w:cs="Arial"/>
          <w:szCs w:val="24"/>
          <w:lang w:eastAsia="hr-HR"/>
        </w:rPr>
        <w:t>5. travnja</w:t>
      </w:r>
      <w:r>
        <w:rPr>
          <w:rFonts w:eastAsia="Times New Roman" w:cs="Arial"/>
          <w:szCs w:val="24"/>
          <w:lang w:eastAsia="hr-HR"/>
        </w:rPr>
        <w:t xml:space="preserve"> 2017. godine objavljuje početak</w:t>
      </w:r>
    </w:p>
    <w:p w:rsidR="00B659CB" w:rsidRDefault="00B659CB" w:rsidP="00B659CB">
      <w:pPr>
        <w:tabs>
          <w:tab w:val="left" w:pos="0"/>
          <w:tab w:val="left" w:pos="720"/>
        </w:tabs>
        <w:spacing w:line="240" w:lineRule="auto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</w:p>
    <w:p w:rsidR="00B659CB" w:rsidRPr="005462D3" w:rsidRDefault="00B659CB" w:rsidP="00C7012A">
      <w:pPr>
        <w:tabs>
          <w:tab w:val="left" w:pos="0"/>
          <w:tab w:val="left" w:pos="720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5462D3">
        <w:rPr>
          <w:rFonts w:eastAsia="Times New Roman" w:cs="Arial"/>
          <w:b/>
          <w:szCs w:val="24"/>
          <w:lang w:eastAsia="hr-HR"/>
        </w:rPr>
        <w:t>JAVNE RASPRAVE</w:t>
      </w:r>
    </w:p>
    <w:p w:rsidR="00B659CB" w:rsidRPr="005462D3" w:rsidRDefault="00B659CB" w:rsidP="00C7012A">
      <w:pPr>
        <w:tabs>
          <w:tab w:val="left" w:pos="0"/>
          <w:tab w:val="left" w:pos="720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5462D3">
        <w:rPr>
          <w:rFonts w:eastAsia="Times New Roman" w:cs="Arial"/>
          <w:b/>
          <w:szCs w:val="24"/>
          <w:lang w:eastAsia="hr-HR"/>
        </w:rPr>
        <w:t xml:space="preserve">o </w:t>
      </w:r>
      <w:r w:rsidR="0063064E">
        <w:rPr>
          <w:rFonts w:eastAsia="Times New Roman" w:cs="Arial"/>
          <w:b/>
          <w:szCs w:val="24"/>
          <w:lang w:eastAsia="hr-HR"/>
        </w:rPr>
        <w:t xml:space="preserve">Stručnoj podlozi za ishođenje okolišne dozvole za postojeće postrojenje </w:t>
      </w:r>
      <w:proofErr w:type="spellStart"/>
      <w:r w:rsidR="0063064E">
        <w:rPr>
          <w:rFonts w:eastAsia="Times New Roman" w:cs="Arial"/>
          <w:b/>
          <w:szCs w:val="24"/>
          <w:lang w:eastAsia="hr-HR"/>
        </w:rPr>
        <w:t>Metis</w:t>
      </w:r>
      <w:proofErr w:type="spellEnd"/>
      <w:r w:rsidR="0063064E">
        <w:rPr>
          <w:rFonts w:eastAsia="Times New Roman" w:cs="Arial"/>
          <w:b/>
          <w:szCs w:val="24"/>
          <w:lang w:eastAsia="hr-HR"/>
        </w:rPr>
        <w:t xml:space="preserve"> d.d. Podružnica </w:t>
      </w:r>
      <w:proofErr w:type="spellStart"/>
      <w:r w:rsidR="0063064E">
        <w:rPr>
          <w:rFonts w:eastAsia="Times New Roman" w:cs="Arial"/>
          <w:b/>
          <w:szCs w:val="24"/>
          <w:lang w:eastAsia="hr-HR"/>
        </w:rPr>
        <w:t>Kukuljanovo</w:t>
      </w:r>
      <w:proofErr w:type="spellEnd"/>
      <w:r w:rsidR="0063064E">
        <w:rPr>
          <w:rFonts w:eastAsia="Times New Roman" w:cs="Arial"/>
          <w:b/>
          <w:szCs w:val="24"/>
          <w:lang w:eastAsia="hr-HR"/>
        </w:rPr>
        <w:t xml:space="preserve">, </w:t>
      </w:r>
      <w:proofErr w:type="spellStart"/>
      <w:r w:rsidR="0063064E">
        <w:rPr>
          <w:rFonts w:eastAsia="Times New Roman" w:cs="Arial"/>
          <w:b/>
          <w:szCs w:val="24"/>
          <w:lang w:eastAsia="hr-HR"/>
        </w:rPr>
        <w:t>Kukuljanovo</w:t>
      </w:r>
      <w:proofErr w:type="spellEnd"/>
    </w:p>
    <w:p w:rsidR="00B659CB" w:rsidRDefault="00B659CB" w:rsidP="00B659CB">
      <w:pPr>
        <w:tabs>
          <w:tab w:val="left" w:pos="0"/>
          <w:tab w:val="left" w:pos="720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</w:p>
    <w:p w:rsidR="00B659CB" w:rsidRDefault="00B659CB" w:rsidP="00B659CB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Javna rasprava o </w:t>
      </w:r>
      <w:r w:rsidR="0063064E" w:rsidRPr="0063064E">
        <w:rPr>
          <w:rFonts w:eastAsia="Times New Roman" w:cs="Arial"/>
          <w:szCs w:val="24"/>
          <w:lang w:eastAsia="hr-HR"/>
        </w:rPr>
        <w:t xml:space="preserve">Stručnoj podlozi za ishođenje okolišne dozvole za postojeće postrojenje </w:t>
      </w:r>
      <w:proofErr w:type="spellStart"/>
      <w:r w:rsidR="0063064E" w:rsidRPr="0063064E">
        <w:rPr>
          <w:rFonts w:eastAsia="Times New Roman" w:cs="Arial"/>
          <w:szCs w:val="24"/>
          <w:lang w:eastAsia="hr-HR"/>
        </w:rPr>
        <w:t>Metis</w:t>
      </w:r>
      <w:proofErr w:type="spellEnd"/>
      <w:r w:rsidR="0063064E" w:rsidRPr="0063064E">
        <w:rPr>
          <w:rFonts w:eastAsia="Times New Roman" w:cs="Arial"/>
          <w:szCs w:val="24"/>
          <w:lang w:eastAsia="hr-HR"/>
        </w:rPr>
        <w:t xml:space="preserve"> d.d. Podružnica </w:t>
      </w:r>
      <w:proofErr w:type="spellStart"/>
      <w:r w:rsidR="0063064E" w:rsidRPr="0063064E">
        <w:rPr>
          <w:rFonts w:eastAsia="Times New Roman" w:cs="Arial"/>
          <w:szCs w:val="24"/>
          <w:lang w:eastAsia="hr-HR"/>
        </w:rPr>
        <w:t>Kukuljanovo</w:t>
      </w:r>
      <w:proofErr w:type="spellEnd"/>
      <w:r w:rsidR="0063064E" w:rsidRPr="0063064E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63064E" w:rsidRPr="0063064E">
        <w:rPr>
          <w:rFonts w:eastAsia="Times New Roman" w:cs="Arial"/>
          <w:szCs w:val="24"/>
          <w:lang w:eastAsia="hr-HR"/>
        </w:rPr>
        <w:t>Kukuljanovo</w:t>
      </w:r>
      <w:proofErr w:type="spellEnd"/>
      <w:r>
        <w:rPr>
          <w:rFonts w:eastAsia="Times New Roman" w:cs="Arial"/>
          <w:szCs w:val="24"/>
          <w:lang w:eastAsia="hr-HR"/>
        </w:rPr>
        <w:t xml:space="preserve"> (u daljnjem tekstu: St</w:t>
      </w:r>
      <w:r w:rsidR="0063064E">
        <w:rPr>
          <w:rFonts w:eastAsia="Times New Roman" w:cs="Arial"/>
          <w:szCs w:val="24"/>
          <w:lang w:eastAsia="hr-HR"/>
        </w:rPr>
        <w:t>ručna podloga</w:t>
      </w:r>
      <w:r>
        <w:rPr>
          <w:rFonts w:eastAsia="Times New Roman" w:cs="Arial"/>
          <w:szCs w:val="24"/>
          <w:lang w:eastAsia="hr-HR"/>
        </w:rPr>
        <w:t xml:space="preserve">) započet će </w:t>
      </w:r>
      <w:r w:rsidR="0063064E">
        <w:rPr>
          <w:rFonts w:eastAsia="Times New Roman" w:cs="Arial"/>
          <w:szCs w:val="24"/>
          <w:lang w:eastAsia="hr-HR"/>
        </w:rPr>
        <w:t>25. travnja</w:t>
      </w:r>
      <w:r>
        <w:rPr>
          <w:rFonts w:eastAsia="Times New Roman" w:cs="Arial"/>
          <w:szCs w:val="24"/>
          <w:lang w:eastAsia="hr-HR"/>
        </w:rPr>
        <w:t xml:space="preserve"> i trajat će do </w:t>
      </w:r>
      <w:r w:rsidR="0063064E">
        <w:rPr>
          <w:rFonts w:eastAsia="Times New Roman" w:cs="Arial"/>
          <w:szCs w:val="24"/>
          <w:lang w:eastAsia="hr-HR"/>
        </w:rPr>
        <w:t>24. svibnja</w:t>
      </w:r>
      <w:r>
        <w:rPr>
          <w:rFonts w:eastAsia="Times New Roman" w:cs="Arial"/>
          <w:szCs w:val="24"/>
          <w:lang w:eastAsia="hr-HR"/>
        </w:rPr>
        <w:t xml:space="preserve"> 2017. godine.</w:t>
      </w:r>
    </w:p>
    <w:p w:rsidR="00B659CB" w:rsidRDefault="00B659CB" w:rsidP="00FB109C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Javni uvid u St</w:t>
      </w:r>
      <w:r w:rsidR="0063064E">
        <w:rPr>
          <w:rFonts w:eastAsia="Times New Roman" w:cs="Arial"/>
          <w:szCs w:val="24"/>
          <w:lang w:eastAsia="hr-HR"/>
        </w:rPr>
        <w:t>ručnu podlogu</w:t>
      </w:r>
      <w:r>
        <w:rPr>
          <w:rFonts w:eastAsia="Times New Roman" w:cs="Arial"/>
          <w:szCs w:val="24"/>
          <w:lang w:eastAsia="hr-HR"/>
        </w:rPr>
        <w:t xml:space="preserve"> može se izvršiti u vijećnici Grada </w:t>
      </w:r>
      <w:r w:rsidR="000F351F">
        <w:rPr>
          <w:rFonts w:eastAsia="Times New Roman" w:cs="Arial"/>
          <w:szCs w:val="24"/>
          <w:lang w:eastAsia="hr-HR"/>
        </w:rPr>
        <w:t>Bakra, u zgradi gradske uprave u Bakru, Primorje 39, 51222 Bakar, II. kat, ponedjeljkom, srijedom i petkom od 8,30 do 11,00 sati te utorkom i četvrtkom od 12,30 do 15,30 sati.</w:t>
      </w:r>
    </w:p>
    <w:p w:rsidR="00B659CB" w:rsidRDefault="00B659CB" w:rsidP="000F351F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St</w:t>
      </w:r>
      <w:r w:rsidR="000F351F">
        <w:rPr>
          <w:rFonts w:eastAsia="Times New Roman" w:cs="Arial"/>
          <w:szCs w:val="24"/>
          <w:lang w:eastAsia="hr-HR"/>
        </w:rPr>
        <w:t>ručna podloga</w:t>
      </w:r>
      <w:r>
        <w:rPr>
          <w:rFonts w:eastAsia="Times New Roman" w:cs="Arial"/>
          <w:szCs w:val="24"/>
          <w:lang w:eastAsia="hr-HR"/>
        </w:rPr>
        <w:t xml:space="preserve"> i </w:t>
      </w:r>
      <w:r w:rsidR="000F351F">
        <w:rPr>
          <w:rFonts w:eastAsia="Times New Roman" w:cs="Arial"/>
          <w:szCs w:val="24"/>
          <w:lang w:eastAsia="hr-HR"/>
        </w:rPr>
        <w:t>sažetak Stručne podloge</w:t>
      </w:r>
      <w:r>
        <w:rPr>
          <w:rFonts w:eastAsia="Times New Roman" w:cs="Arial"/>
          <w:szCs w:val="24"/>
          <w:lang w:eastAsia="hr-HR"/>
        </w:rPr>
        <w:t xml:space="preserve"> bit će s danom početka javne rasprave dostup</w:t>
      </w:r>
      <w:r w:rsidR="00C7012A">
        <w:rPr>
          <w:rFonts w:eastAsia="Times New Roman" w:cs="Arial"/>
          <w:szCs w:val="24"/>
          <w:lang w:eastAsia="hr-HR"/>
        </w:rPr>
        <w:t>ni</w:t>
      </w:r>
      <w:r>
        <w:rPr>
          <w:rFonts w:eastAsia="Times New Roman" w:cs="Arial"/>
          <w:szCs w:val="24"/>
          <w:lang w:eastAsia="hr-HR"/>
        </w:rPr>
        <w:t xml:space="preserve"> javnosti i zainteresiranoj javnosti i na internetskim stranicama Ministarstva zaštite okoliša i energetike</w:t>
      </w:r>
      <w:r w:rsidR="000F351F">
        <w:rPr>
          <w:rFonts w:eastAsia="Times New Roman" w:cs="Arial"/>
          <w:szCs w:val="24"/>
          <w:lang w:eastAsia="hr-HR"/>
        </w:rPr>
        <w:t xml:space="preserve">: </w:t>
      </w:r>
      <w:r w:rsidR="000F351F" w:rsidRPr="000F351F">
        <w:t xml:space="preserve"> </w:t>
      </w:r>
      <w:hyperlink r:id="rId8" w:history="1">
        <w:r w:rsidR="000F351F" w:rsidRPr="007605CF">
          <w:rPr>
            <w:rStyle w:val="Hyperlink"/>
            <w:rFonts w:eastAsia="Times New Roman" w:cs="Arial"/>
            <w:szCs w:val="24"/>
            <w:lang w:eastAsia="hr-HR"/>
          </w:rPr>
          <w:t>http://www.mzoip.hr/hr/okolis/okolisna-dozvola.html</w:t>
        </w:r>
      </w:hyperlink>
      <w:r w:rsidR="000F351F">
        <w:rPr>
          <w:rFonts w:eastAsia="Times New Roman" w:cs="Arial"/>
          <w:szCs w:val="24"/>
          <w:lang w:eastAsia="hr-HR"/>
        </w:rPr>
        <w:t xml:space="preserve"> </w:t>
      </w:r>
    </w:p>
    <w:p w:rsidR="00B659CB" w:rsidRPr="00F05E4F" w:rsidRDefault="00B659CB" w:rsidP="00FB109C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Javno izlaganje o St</w:t>
      </w:r>
      <w:r w:rsidR="000F351F">
        <w:rPr>
          <w:rFonts w:eastAsia="Times New Roman" w:cs="Arial"/>
          <w:szCs w:val="24"/>
          <w:lang w:eastAsia="hr-HR"/>
        </w:rPr>
        <w:t>ručnoj podlozi</w:t>
      </w:r>
      <w:r>
        <w:rPr>
          <w:rFonts w:eastAsia="Times New Roman" w:cs="Arial"/>
          <w:szCs w:val="24"/>
          <w:lang w:eastAsia="hr-HR"/>
        </w:rPr>
        <w:t xml:space="preserve"> održat će se </w:t>
      </w:r>
      <w:r w:rsidRPr="00F05E4F">
        <w:rPr>
          <w:rFonts w:eastAsia="Times New Roman" w:cs="Arial"/>
          <w:szCs w:val="24"/>
          <w:lang w:eastAsia="hr-HR"/>
        </w:rPr>
        <w:t xml:space="preserve">u </w:t>
      </w:r>
      <w:r w:rsidR="00362846">
        <w:rPr>
          <w:rFonts w:eastAsia="Times New Roman" w:cs="Arial"/>
          <w:szCs w:val="24"/>
          <w:lang w:eastAsia="hr-HR"/>
        </w:rPr>
        <w:t>petak</w:t>
      </w:r>
      <w:r w:rsidRPr="00F05E4F">
        <w:rPr>
          <w:rFonts w:eastAsia="Times New Roman" w:cs="Arial"/>
          <w:szCs w:val="24"/>
          <w:lang w:eastAsia="hr-HR"/>
        </w:rPr>
        <w:t xml:space="preserve">, </w:t>
      </w:r>
      <w:r w:rsidR="00362846">
        <w:rPr>
          <w:rFonts w:eastAsia="Times New Roman" w:cs="Arial"/>
          <w:szCs w:val="24"/>
          <w:lang w:eastAsia="hr-HR"/>
        </w:rPr>
        <w:t xml:space="preserve">5. svibnja 2017. </w:t>
      </w:r>
      <w:r w:rsidRPr="00F05E4F">
        <w:rPr>
          <w:rFonts w:eastAsia="Times New Roman" w:cs="Arial"/>
          <w:szCs w:val="24"/>
          <w:lang w:eastAsia="hr-HR"/>
        </w:rPr>
        <w:t>godine, u</w:t>
      </w:r>
      <w:r w:rsidR="00362846">
        <w:rPr>
          <w:rFonts w:eastAsia="Times New Roman" w:cs="Arial"/>
          <w:szCs w:val="24"/>
          <w:lang w:eastAsia="hr-HR"/>
        </w:rPr>
        <w:t xml:space="preserve"> vijećnici Grada Bakra, u zgradi gradske uprave u Bakru, Primorje 39, 51222 Bakar, II. kat</w:t>
      </w:r>
      <w:r w:rsidRPr="00F05E4F">
        <w:rPr>
          <w:rFonts w:eastAsia="Times New Roman" w:cs="Arial"/>
          <w:szCs w:val="24"/>
          <w:lang w:eastAsia="hr-HR"/>
        </w:rPr>
        <w:t>, s počet</w:t>
      </w:r>
      <w:r w:rsidR="00362846">
        <w:rPr>
          <w:rFonts w:eastAsia="Times New Roman" w:cs="Arial"/>
          <w:szCs w:val="24"/>
          <w:lang w:eastAsia="hr-HR"/>
        </w:rPr>
        <w:t>kom u 15</w:t>
      </w:r>
      <w:r w:rsidRPr="00F05E4F">
        <w:rPr>
          <w:rFonts w:eastAsia="Times New Roman" w:cs="Arial"/>
          <w:szCs w:val="24"/>
          <w:lang w:eastAsia="hr-HR"/>
        </w:rPr>
        <w:t>,00 sati.</w:t>
      </w:r>
    </w:p>
    <w:p w:rsidR="00B659CB" w:rsidRDefault="00B659CB" w:rsidP="00FB109C">
      <w:pPr>
        <w:tabs>
          <w:tab w:val="left" w:pos="0"/>
          <w:tab w:val="left" w:pos="720"/>
        </w:tabs>
        <w:spacing w:line="240" w:lineRule="auto"/>
        <w:ind w:left="709" w:hanging="34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5.  Za vrijeme trajanja javne rasprave prijedlozi, mišljenja i primjedbe javnosti mogu se </w:t>
      </w:r>
    </w:p>
    <w:p w:rsidR="00B659CB" w:rsidRDefault="00B659CB" w:rsidP="00B659CB">
      <w:pPr>
        <w:tabs>
          <w:tab w:val="left" w:pos="0"/>
          <w:tab w:val="left" w:pos="720"/>
        </w:tabs>
        <w:spacing w:line="240" w:lineRule="auto"/>
        <w:ind w:left="709" w:hanging="349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-    upisati u knjigu primjedbi koja će biti izložena na mjestu javnog uvida,</w:t>
      </w:r>
    </w:p>
    <w:p w:rsidR="00B659CB" w:rsidRDefault="00B659CB" w:rsidP="00B659CB">
      <w:pPr>
        <w:tabs>
          <w:tab w:val="left" w:pos="0"/>
          <w:tab w:val="left" w:pos="720"/>
        </w:tabs>
        <w:spacing w:line="240" w:lineRule="auto"/>
        <w:ind w:left="709" w:hanging="34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-   dostaviti u pisanom obliku na adresu: Upravni odjel za prostorno uređenje, graditeljstvo i zaštitu okoliša, Rijeka, </w:t>
      </w:r>
      <w:proofErr w:type="spellStart"/>
      <w:r>
        <w:rPr>
          <w:rFonts w:eastAsia="Times New Roman" w:cs="Arial"/>
          <w:szCs w:val="24"/>
          <w:lang w:eastAsia="hr-HR"/>
        </w:rPr>
        <w:t>Slogin</w:t>
      </w:r>
      <w:proofErr w:type="spellEnd"/>
      <w:r>
        <w:rPr>
          <w:rFonts w:eastAsia="Times New Roman" w:cs="Arial"/>
          <w:szCs w:val="24"/>
          <w:lang w:eastAsia="hr-HR"/>
        </w:rPr>
        <w:t xml:space="preserve"> kula 2, s naznakom Javna rasprava o</w:t>
      </w:r>
      <w:r w:rsidR="00362846">
        <w:rPr>
          <w:rFonts w:eastAsia="Times New Roman" w:cs="Arial"/>
          <w:szCs w:val="24"/>
          <w:lang w:eastAsia="hr-HR"/>
        </w:rPr>
        <w:t xml:space="preserve"> </w:t>
      </w:r>
      <w:r w:rsidR="00362846" w:rsidRPr="0063064E">
        <w:rPr>
          <w:rFonts w:eastAsia="Times New Roman" w:cs="Arial"/>
          <w:szCs w:val="24"/>
          <w:lang w:eastAsia="hr-HR"/>
        </w:rPr>
        <w:t xml:space="preserve">Stručnoj podlozi za ishođenje okolišne dozvole za postojeće postrojenje </w:t>
      </w:r>
      <w:proofErr w:type="spellStart"/>
      <w:r w:rsidR="00362846" w:rsidRPr="0063064E">
        <w:rPr>
          <w:rFonts w:eastAsia="Times New Roman" w:cs="Arial"/>
          <w:szCs w:val="24"/>
          <w:lang w:eastAsia="hr-HR"/>
        </w:rPr>
        <w:t>Metis</w:t>
      </w:r>
      <w:proofErr w:type="spellEnd"/>
      <w:r w:rsidR="00362846" w:rsidRPr="0063064E">
        <w:rPr>
          <w:rFonts w:eastAsia="Times New Roman" w:cs="Arial"/>
          <w:szCs w:val="24"/>
          <w:lang w:eastAsia="hr-HR"/>
        </w:rPr>
        <w:t xml:space="preserve"> d.d. Podružnica </w:t>
      </w:r>
      <w:proofErr w:type="spellStart"/>
      <w:r w:rsidR="00362846" w:rsidRPr="0063064E">
        <w:rPr>
          <w:rFonts w:eastAsia="Times New Roman" w:cs="Arial"/>
          <w:szCs w:val="24"/>
          <w:lang w:eastAsia="hr-HR"/>
        </w:rPr>
        <w:t>Kukuljanovo</w:t>
      </w:r>
      <w:proofErr w:type="spellEnd"/>
      <w:r w:rsidR="00362846" w:rsidRPr="0063064E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362846" w:rsidRPr="0063064E">
        <w:rPr>
          <w:rFonts w:eastAsia="Times New Roman" w:cs="Arial"/>
          <w:szCs w:val="24"/>
          <w:lang w:eastAsia="hr-HR"/>
        </w:rPr>
        <w:t>Kukuljanovo</w:t>
      </w:r>
      <w:proofErr w:type="spellEnd"/>
      <w:r>
        <w:rPr>
          <w:rFonts w:eastAsia="Times New Roman" w:cs="Arial"/>
          <w:szCs w:val="24"/>
          <w:lang w:eastAsia="hr-HR"/>
        </w:rPr>
        <w:t xml:space="preserve">, te na e-mail adresu: </w:t>
      </w:r>
      <w:hyperlink r:id="rId9" w:history="1">
        <w:r w:rsidR="00362846" w:rsidRPr="007605CF">
          <w:rPr>
            <w:rStyle w:val="Hyperlink"/>
            <w:rFonts w:eastAsia="Times New Roman" w:cs="Arial"/>
            <w:szCs w:val="24"/>
            <w:lang w:eastAsia="hr-HR"/>
          </w:rPr>
          <w:t>tihana.bacev@pgz.hr</w:t>
        </w:r>
      </w:hyperlink>
      <w:r>
        <w:rPr>
          <w:rFonts w:eastAsia="Times New Roman" w:cs="Arial"/>
          <w:szCs w:val="24"/>
          <w:lang w:eastAsia="hr-HR"/>
        </w:rPr>
        <w:t xml:space="preserve"> zaključno s danom završetka javne rasprave.</w:t>
      </w:r>
    </w:p>
    <w:p w:rsidR="00362846" w:rsidRDefault="00B659CB" w:rsidP="00B659CB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Prijedlozi, mišljenja i primjedbe moraju biti napisani čitko i razumljivo, uz ime i prezime, adresu i potpis podnositelja.</w:t>
      </w:r>
    </w:p>
    <w:p w:rsidR="00B659CB" w:rsidRDefault="00B659CB" w:rsidP="00B659CB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lastRenderedPageBreak/>
        <w:t>Svi prijedlozi, mišljenja i primjedbe koji ne budu dostavljeni u roku i čitko napisani neće se uzeti u razmatranje.</w:t>
      </w:r>
    </w:p>
    <w:p w:rsidR="00B659CB" w:rsidRPr="00AD0430" w:rsidRDefault="00B659CB" w:rsidP="00B659CB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tab/>
      </w:r>
      <w:r>
        <w:tab/>
      </w:r>
      <w:r>
        <w:tab/>
      </w:r>
      <w:r>
        <w:tab/>
      </w:r>
    </w:p>
    <w:p w:rsidR="00E4715F" w:rsidRDefault="00E4715F"/>
    <w:sectPr w:rsidR="00E4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5F6"/>
    <w:multiLevelType w:val="hybridMultilevel"/>
    <w:tmpl w:val="5BEA9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66"/>
    <w:rsid w:val="000F351F"/>
    <w:rsid w:val="0014231D"/>
    <w:rsid w:val="00362846"/>
    <w:rsid w:val="005D637C"/>
    <w:rsid w:val="0063064E"/>
    <w:rsid w:val="00665066"/>
    <w:rsid w:val="00B659CB"/>
    <w:rsid w:val="00B91C7D"/>
    <w:rsid w:val="00C7012A"/>
    <w:rsid w:val="00E4715F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ip.hr/hr/okolis/okolisna-dozvol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hana.bacev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Bačev</dc:creator>
  <cp:keywords/>
  <dc:description/>
  <cp:lastModifiedBy>Tihana Bačev</cp:lastModifiedBy>
  <cp:revision>9</cp:revision>
  <cp:lastPrinted>2017-04-11T12:14:00Z</cp:lastPrinted>
  <dcterms:created xsi:type="dcterms:W3CDTF">2017-04-11T08:33:00Z</dcterms:created>
  <dcterms:modified xsi:type="dcterms:W3CDTF">2017-04-11T13:03:00Z</dcterms:modified>
</cp:coreProperties>
</file>