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1A3" w:rsidRDefault="001E61A3" w:rsidP="001E61A3">
      <w:pPr>
        <w:spacing w:line="240" w:lineRule="auto"/>
        <w:jc w:val="both"/>
        <w:rPr>
          <w:rFonts w:eastAsia="MS Mincho" w:cs="Arial"/>
          <w:szCs w:val="24"/>
          <w:lang w:eastAsia="hr-HR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505"/>
      </w:tblGrid>
      <w:tr w:rsidR="001E61A3" w:rsidTr="001E61A3">
        <w:tc>
          <w:tcPr>
            <w:tcW w:w="5505" w:type="dxa"/>
            <w:hideMark/>
          </w:tcPr>
          <w:p w:rsidR="001E61A3" w:rsidRDefault="001E61A3">
            <w:pPr>
              <w:tabs>
                <w:tab w:val="left" w:pos="225"/>
                <w:tab w:val="center" w:pos="1789"/>
                <w:tab w:val="center" w:pos="4536"/>
                <w:tab w:val="right" w:pos="9072"/>
              </w:tabs>
              <w:spacing w:line="240" w:lineRule="auto"/>
              <w:jc w:val="center"/>
              <w:rPr>
                <w:rFonts w:eastAsia="Times New Roman" w:cs="Arial"/>
                <w:i/>
                <w:szCs w:val="24"/>
                <w:lang w:eastAsia="hr-HR"/>
              </w:rPr>
            </w:pPr>
            <w:r>
              <w:rPr>
                <w:rFonts w:eastAsia="Times New Roman" w:cs="Arial"/>
                <w:noProof/>
                <w:szCs w:val="24"/>
                <w:lang w:eastAsia="hr-HR"/>
              </w:rPr>
              <w:drawing>
                <wp:inline distT="0" distB="0" distL="0" distR="0">
                  <wp:extent cx="409575" cy="45720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61A3" w:rsidTr="001E61A3">
        <w:tc>
          <w:tcPr>
            <w:tcW w:w="5505" w:type="dxa"/>
            <w:hideMark/>
          </w:tcPr>
          <w:p w:rsidR="001E61A3" w:rsidRDefault="001E61A3">
            <w:pPr>
              <w:tabs>
                <w:tab w:val="left" w:pos="225"/>
                <w:tab w:val="center" w:pos="1789"/>
                <w:tab w:val="center" w:pos="4536"/>
                <w:tab w:val="right" w:pos="9072"/>
              </w:tabs>
              <w:spacing w:line="240" w:lineRule="auto"/>
              <w:jc w:val="center"/>
              <w:rPr>
                <w:rFonts w:eastAsia="Times New Roman" w:cs="Arial"/>
                <w:szCs w:val="24"/>
                <w:lang w:eastAsia="hr-HR"/>
              </w:rPr>
            </w:pPr>
            <w:r>
              <w:rPr>
                <w:noProof/>
                <w:lang w:eastAsia="hr-H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-257175</wp:posOffset>
                  </wp:positionH>
                  <wp:positionV relativeFrom="paragraph">
                    <wp:posOffset>2540</wp:posOffset>
                  </wp:positionV>
                  <wp:extent cx="292735" cy="358140"/>
                  <wp:effectExtent l="0" t="0" r="0" b="3810"/>
                  <wp:wrapNone/>
                  <wp:docPr id="2" name="Picture 2" descr="gr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58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Times New Roman" w:cs="Arial"/>
                <w:szCs w:val="24"/>
                <w:lang w:eastAsia="hr-HR"/>
              </w:rPr>
              <w:t>REPUBLIKA HRVATSKA</w:t>
            </w:r>
          </w:p>
        </w:tc>
      </w:tr>
      <w:tr w:rsidR="001E61A3" w:rsidTr="001E61A3">
        <w:tc>
          <w:tcPr>
            <w:tcW w:w="5505" w:type="dxa"/>
            <w:hideMark/>
          </w:tcPr>
          <w:p w:rsidR="001E61A3" w:rsidRDefault="001E61A3">
            <w:pPr>
              <w:tabs>
                <w:tab w:val="center" w:pos="4536"/>
                <w:tab w:val="right" w:pos="9072"/>
              </w:tabs>
              <w:spacing w:line="240" w:lineRule="auto"/>
              <w:jc w:val="center"/>
              <w:rPr>
                <w:rFonts w:eastAsia="Times New Roman" w:cs="Arial"/>
                <w:szCs w:val="24"/>
                <w:lang w:eastAsia="hr-HR"/>
              </w:rPr>
            </w:pPr>
            <w:r>
              <w:rPr>
                <w:rFonts w:eastAsia="Times New Roman" w:cs="Arial"/>
                <w:szCs w:val="24"/>
                <w:lang w:eastAsia="hr-HR"/>
              </w:rPr>
              <w:t>PRIMORSKO-GORANSKA ŽUPANIJA</w:t>
            </w:r>
          </w:p>
        </w:tc>
      </w:tr>
      <w:tr w:rsidR="001E61A3" w:rsidTr="001E61A3">
        <w:tc>
          <w:tcPr>
            <w:tcW w:w="5505" w:type="dxa"/>
          </w:tcPr>
          <w:p w:rsidR="001E61A3" w:rsidRDefault="001E61A3">
            <w:pPr>
              <w:tabs>
                <w:tab w:val="center" w:pos="4536"/>
                <w:tab w:val="right" w:pos="9072"/>
              </w:tabs>
              <w:spacing w:line="240" w:lineRule="auto"/>
              <w:jc w:val="center"/>
              <w:rPr>
                <w:rFonts w:eastAsia="Times New Roman" w:cs="Arial"/>
                <w:szCs w:val="24"/>
                <w:lang w:eastAsia="hr-HR"/>
              </w:rPr>
            </w:pPr>
          </w:p>
        </w:tc>
      </w:tr>
      <w:tr w:rsidR="001E61A3" w:rsidTr="001E61A3">
        <w:tc>
          <w:tcPr>
            <w:tcW w:w="5505" w:type="dxa"/>
            <w:hideMark/>
          </w:tcPr>
          <w:p w:rsidR="001E61A3" w:rsidRDefault="001E61A3">
            <w:pPr>
              <w:tabs>
                <w:tab w:val="center" w:pos="4536"/>
                <w:tab w:val="right" w:pos="9072"/>
              </w:tabs>
              <w:spacing w:line="240" w:lineRule="auto"/>
              <w:jc w:val="center"/>
              <w:rPr>
                <w:rFonts w:eastAsia="Times New Roman" w:cs="Arial"/>
                <w:szCs w:val="24"/>
                <w:lang w:eastAsia="hr-HR"/>
              </w:rPr>
            </w:pPr>
            <w:r>
              <w:rPr>
                <w:rFonts w:eastAsia="Times New Roman" w:cs="Arial"/>
                <w:szCs w:val="24"/>
                <w:lang w:eastAsia="hr-HR"/>
              </w:rPr>
              <w:t xml:space="preserve">UPRAVNI ODJEL ZA </w:t>
            </w:r>
          </w:p>
          <w:p w:rsidR="001E61A3" w:rsidRDefault="001E61A3">
            <w:pPr>
              <w:tabs>
                <w:tab w:val="center" w:pos="4536"/>
                <w:tab w:val="right" w:pos="9072"/>
              </w:tabs>
              <w:spacing w:line="240" w:lineRule="auto"/>
              <w:jc w:val="center"/>
              <w:rPr>
                <w:rFonts w:eastAsia="Times New Roman" w:cs="Arial"/>
                <w:szCs w:val="24"/>
                <w:lang w:eastAsia="hr-HR"/>
              </w:rPr>
            </w:pPr>
            <w:r>
              <w:rPr>
                <w:rFonts w:eastAsia="Times New Roman" w:cs="Arial"/>
                <w:szCs w:val="24"/>
                <w:lang w:eastAsia="hr-HR"/>
              </w:rPr>
              <w:t xml:space="preserve">PROSTORNO UREĐENJE,  </w:t>
            </w:r>
          </w:p>
          <w:p w:rsidR="001E61A3" w:rsidRDefault="001E61A3">
            <w:pPr>
              <w:tabs>
                <w:tab w:val="center" w:pos="4536"/>
                <w:tab w:val="right" w:pos="9072"/>
              </w:tabs>
              <w:spacing w:line="240" w:lineRule="auto"/>
              <w:jc w:val="center"/>
              <w:rPr>
                <w:rFonts w:eastAsia="Times New Roman" w:cs="Arial"/>
                <w:szCs w:val="24"/>
                <w:lang w:eastAsia="hr-HR"/>
              </w:rPr>
            </w:pPr>
            <w:r>
              <w:rPr>
                <w:rFonts w:eastAsia="Times New Roman" w:cs="Arial"/>
                <w:szCs w:val="24"/>
                <w:lang w:eastAsia="hr-HR"/>
              </w:rPr>
              <w:t>GRADITELJSTVO I ZAŠTITU OKOLIŠA</w:t>
            </w:r>
          </w:p>
        </w:tc>
      </w:tr>
    </w:tbl>
    <w:p w:rsidR="001E61A3" w:rsidRDefault="001E61A3" w:rsidP="001E61A3">
      <w:pPr>
        <w:spacing w:line="240" w:lineRule="auto"/>
        <w:jc w:val="both"/>
        <w:rPr>
          <w:rFonts w:eastAsia="MS Mincho" w:cs="Arial"/>
          <w:szCs w:val="24"/>
          <w:lang w:eastAsia="hr-H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70"/>
        <w:gridCol w:w="2865"/>
      </w:tblGrid>
      <w:tr w:rsidR="001E61A3" w:rsidTr="001E61A3">
        <w:tc>
          <w:tcPr>
            <w:tcW w:w="1203" w:type="dxa"/>
            <w:hideMark/>
          </w:tcPr>
          <w:p w:rsidR="001E61A3" w:rsidRDefault="001E61A3">
            <w:pPr>
              <w:spacing w:line="240" w:lineRule="auto"/>
              <w:jc w:val="both"/>
              <w:rPr>
                <w:rFonts w:eastAsia="Times New Roman" w:cs="Arial"/>
                <w:szCs w:val="24"/>
                <w:lang w:eastAsia="hr-HR"/>
              </w:rPr>
            </w:pPr>
            <w:r>
              <w:rPr>
                <w:rFonts w:eastAsia="Times New Roman" w:cs="Arial"/>
                <w:szCs w:val="24"/>
                <w:lang w:eastAsia="hr-HR"/>
              </w:rPr>
              <w:t>KLASA:</w:t>
            </w:r>
          </w:p>
        </w:tc>
        <w:tc>
          <w:tcPr>
            <w:tcW w:w="2865" w:type="dxa"/>
            <w:hideMark/>
          </w:tcPr>
          <w:p w:rsidR="001E61A3" w:rsidRDefault="00CA4A14">
            <w:pPr>
              <w:spacing w:line="240" w:lineRule="auto"/>
              <w:jc w:val="both"/>
              <w:rPr>
                <w:rFonts w:eastAsia="Times New Roman" w:cs="Arial"/>
                <w:szCs w:val="24"/>
                <w:lang w:eastAsia="hr-HR"/>
              </w:rPr>
            </w:pPr>
            <w:r>
              <w:rPr>
                <w:rFonts w:eastAsia="MS Mincho" w:cs="Arial"/>
                <w:szCs w:val="24"/>
                <w:lang w:eastAsia="hr-HR"/>
              </w:rPr>
              <w:t>UP/I-361-03/19-06/114</w:t>
            </w:r>
          </w:p>
        </w:tc>
      </w:tr>
      <w:tr w:rsidR="001E61A3" w:rsidTr="001E61A3">
        <w:tc>
          <w:tcPr>
            <w:tcW w:w="1203" w:type="dxa"/>
            <w:hideMark/>
          </w:tcPr>
          <w:p w:rsidR="001E61A3" w:rsidRDefault="001E61A3">
            <w:pPr>
              <w:spacing w:line="240" w:lineRule="auto"/>
              <w:jc w:val="both"/>
              <w:rPr>
                <w:rFonts w:eastAsia="Times New Roman" w:cs="Arial"/>
                <w:szCs w:val="24"/>
                <w:lang w:eastAsia="hr-HR"/>
              </w:rPr>
            </w:pPr>
            <w:r>
              <w:rPr>
                <w:rFonts w:eastAsia="Times New Roman" w:cs="Arial"/>
                <w:szCs w:val="24"/>
                <w:lang w:eastAsia="hr-HR"/>
              </w:rPr>
              <w:t>URBROJ:</w:t>
            </w:r>
          </w:p>
        </w:tc>
        <w:tc>
          <w:tcPr>
            <w:tcW w:w="2865" w:type="dxa"/>
            <w:hideMark/>
          </w:tcPr>
          <w:p w:rsidR="001E61A3" w:rsidRDefault="00CA4A14">
            <w:pPr>
              <w:spacing w:line="240" w:lineRule="auto"/>
              <w:jc w:val="both"/>
              <w:rPr>
                <w:rFonts w:eastAsia="MS Mincho" w:cs="Arial"/>
                <w:szCs w:val="24"/>
                <w:lang w:eastAsia="hr-HR"/>
              </w:rPr>
            </w:pPr>
            <w:r>
              <w:rPr>
                <w:rFonts w:eastAsia="MS Mincho" w:cs="Arial"/>
                <w:szCs w:val="24"/>
                <w:lang w:eastAsia="hr-HR"/>
              </w:rPr>
              <w:t>2170/1-03-01/10-19-8</w:t>
            </w:r>
          </w:p>
        </w:tc>
      </w:tr>
      <w:tr w:rsidR="001E61A3" w:rsidTr="001E61A3">
        <w:tc>
          <w:tcPr>
            <w:tcW w:w="1203" w:type="dxa"/>
            <w:hideMark/>
          </w:tcPr>
          <w:p w:rsidR="001E61A3" w:rsidRDefault="001E61A3">
            <w:pPr>
              <w:spacing w:line="240" w:lineRule="auto"/>
              <w:jc w:val="both"/>
              <w:rPr>
                <w:rFonts w:eastAsia="Times New Roman" w:cs="Arial"/>
                <w:szCs w:val="24"/>
                <w:lang w:eastAsia="hr-HR"/>
              </w:rPr>
            </w:pPr>
            <w:r>
              <w:rPr>
                <w:rFonts w:eastAsia="Times New Roman" w:cs="Arial"/>
                <w:szCs w:val="24"/>
                <w:lang w:eastAsia="hr-HR"/>
              </w:rPr>
              <w:t>Rijeka,</w:t>
            </w:r>
          </w:p>
        </w:tc>
        <w:tc>
          <w:tcPr>
            <w:tcW w:w="2865" w:type="dxa"/>
            <w:hideMark/>
          </w:tcPr>
          <w:p w:rsidR="001E61A3" w:rsidRDefault="00CA4A14">
            <w:pPr>
              <w:spacing w:line="240" w:lineRule="auto"/>
              <w:jc w:val="both"/>
              <w:rPr>
                <w:rFonts w:eastAsia="Times New Roman" w:cs="Arial"/>
                <w:szCs w:val="24"/>
                <w:lang w:eastAsia="hr-HR"/>
              </w:rPr>
            </w:pPr>
            <w:r>
              <w:rPr>
                <w:rFonts w:eastAsia="Times New Roman" w:cs="Arial"/>
                <w:szCs w:val="24"/>
                <w:lang w:eastAsia="hr-HR"/>
              </w:rPr>
              <w:t>12. rujna</w:t>
            </w:r>
            <w:r w:rsidR="001E61A3">
              <w:rPr>
                <w:rFonts w:eastAsia="Times New Roman" w:cs="Arial"/>
                <w:szCs w:val="24"/>
                <w:lang w:eastAsia="hr-HR"/>
              </w:rPr>
              <w:t xml:space="preserve"> 2019.</w:t>
            </w:r>
          </w:p>
        </w:tc>
      </w:tr>
    </w:tbl>
    <w:p w:rsidR="001E61A3" w:rsidRDefault="001E61A3" w:rsidP="001E61A3">
      <w:pPr>
        <w:spacing w:line="240" w:lineRule="auto"/>
        <w:jc w:val="both"/>
        <w:rPr>
          <w:rFonts w:eastAsia="Times New Roman" w:cs="Arial"/>
          <w:szCs w:val="24"/>
          <w:lang w:eastAsia="hr-HR"/>
        </w:rPr>
      </w:pPr>
    </w:p>
    <w:p w:rsidR="001E61A3" w:rsidRDefault="001E61A3" w:rsidP="001E61A3">
      <w:pPr>
        <w:spacing w:line="240" w:lineRule="auto"/>
        <w:ind w:firstLine="720"/>
        <w:jc w:val="both"/>
        <w:rPr>
          <w:rFonts w:eastAsia="MS Mincho" w:cs="Arial"/>
          <w:szCs w:val="24"/>
          <w:lang w:eastAsia="hr-HR"/>
        </w:rPr>
      </w:pPr>
      <w:r>
        <w:rPr>
          <w:rFonts w:eastAsia="Times New Roman" w:cs="Arial"/>
          <w:szCs w:val="24"/>
          <w:lang w:eastAsia="hr-HR"/>
        </w:rPr>
        <w:t xml:space="preserve">Primorsko-goranska županija, </w:t>
      </w:r>
      <w:r>
        <w:rPr>
          <w:rFonts w:eastAsia="Times New Roman" w:cs="Arial"/>
          <w:szCs w:val="24"/>
          <w:lang w:val="pl-PL" w:eastAsia="hr-HR"/>
        </w:rPr>
        <w:t xml:space="preserve">Upravni odjel za </w:t>
      </w:r>
      <w:r>
        <w:rPr>
          <w:rFonts w:eastAsia="Times New Roman" w:cs="Arial"/>
          <w:szCs w:val="24"/>
          <w:lang w:eastAsia="hr-HR"/>
        </w:rPr>
        <w:t xml:space="preserve">prostorno uređenje, graditeljstvo i zaštitu okoliša, Odsjek za prostorno uređenje i graditeljstvo, temeljem odredbe </w:t>
      </w:r>
      <w:r>
        <w:rPr>
          <w:rFonts w:eastAsia="MS Mincho" w:cs="Arial"/>
          <w:szCs w:val="24"/>
          <w:lang w:eastAsia="hr-HR"/>
        </w:rPr>
        <w:t xml:space="preserve">čl. </w:t>
      </w:r>
      <w:r>
        <w:rPr>
          <w:rFonts w:eastAsia="Times New Roman" w:cs="Arial"/>
          <w:szCs w:val="24"/>
          <w:lang w:eastAsia="hr-HR"/>
        </w:rPr>
        <w:t>115</w:t>
      </w:r>
      <w:r>
        <w:rPr>
          <w:rFonts w:eastAsia="MS Mincho" w:cs="Arial"/>
          <w:szCs w:val="24"/>
          <w:lang w:eastAsia="hr-HR"/>
        </w:rPr>
        <w:t xml:space="preserve">. st. 2. i čl. 116. st. 2. </w:t>
      </w:r>
      <w:r>
        <w:rPr>
          <w:rFonts w:eastAsia="Times New Roman" w:cs="Arial"/>
          <w:szCs w:val="24"/>
          <w:lang w:eastAsia="hr-HR"/>
        </w:rPr>
        <w:t>Zakona o gradnji („Narodne novine'' br. 153/13, 20/17),</w:t>
      </w:r>
      <w:r>
        <w:rPr>
          <w:rFonts w:cs="Arial"/>
          <w:szCs w:val="24"/>
          <w:lang w:eastAsia="hr-HR"/>
        </w:rPr>
        <w:t xml:space="preserve"> a u vezi sa odredbom članka 61. Zakona o izmjenama i dopunama Zakona o gradnji („Narodne novine“ broj 39/19),</w:t>
      </w:r>
      <w:r>
        <w:rPr>
          <w:rFonts w:eastAsia="Times New Roman" w:cs="Arial"/>
          <w:szCs w:val="24"/>
          <w:lang w:eastAsia="hr-HR"/>
        </w:rPr>
        <w:t xml:space="preserve">  </w:t>
      </w:r>
      <w:r>
        <w:rPr>
          <w:rFonts w:eastAsia="MS Mincho" w:cs="Arial"/>
          <w:szCs w:val="24"/>
          <w:lang w:eastAsia="hr-HR"/>
        </w:rPr>
        <w:t>u postupku izdavanja građevinske dozvole</w:t>
      </w:r>
      <w:r>
        <w:rPr>
          <w:rFonts w:eastAsia="Times New Roman" w:cs="Arial"/>
          <w:szCs w:val="24"/>
          <w:lang w:eastAsia="hr-HR"/>
        </w:rPr>
        <w:t>, po zaht</w:t>
      </w:r>
      <w:r w:rsidR="00CA4A14">
        <w:rPr>
          <w:rFonts w:eastAsia="Times New Roman" w:cs="Arial"/>
          <w:szCs w:val="24"/>
          <w:lang w:eastAsia="hr-HR"/>
        </w:rPr>
        <w:t xml:space="preserve">jevu investitora </w:t>
      </w:r>
      <w:proofErr w:type="spellStart"/>
      <w:r w:rsidR="00CA4A14">
        <w:rPr>
          <w:rFonts w:eastAsia="Times New Roman" w:cs="Arial"/>
          <w:szCs w:val="24"/>
          <w:lang w:eastAsia="hr-HR"/>
        </w:rPr>
        <w:t>Daria</w:t>
      </w:r>
      <w:proofErr w:type="spellEnd"/>
      <w:r w:rsidR="00CA4A14">
        <w:rPr>
          <w:rFonts w:eastAsia="Times New Roman" w:cs="Arial"/>
          <w:szCs w:val="24"/>
          <w:lang w:eastAsia="hr-HR"/>
        </w:rPr>
        <w:t xml:space="preserve"> Turine iz </w:t>
      </w:r>
      <w:proofErr w:type="spellStart"/>
      <w:r w:rsidR="00CA4A14">
        <w:rPr>
          <w:rFonts w:eastAsia="Times New Roman" w:cs="Arial"/>
          <w:szCs w:val="24"/>
          <w:lang w:eastAsia="hr-HR"/>
        </w:rPr>
        <w:t>Šmrike</w:t>
      </w:r>
      <w:proofErr w:type="spellEnd"/>
      <w:r w:rsidR="00CA4A14">
        <w:rPr>
          <w:rFonts w:eastAsia="Times New Roman" w:cs="Arial"/>
          <w:szCs w:val="24"/>
          <w:lang w:eastAsia="hr-HR"/>
        </w:rPr>
        <w:t>, Brajci 4</w:t>
      </w:r>
    </w:p>
    <w:p w:rsidR="001E61A3" w:rsidRDefault="001E61A3" w:rsidP="001E61A3">
      <w:pPr>
        <w:spacing w:line="240" w:lineRule="auto"/>
        <w:rPr>
          <w:rFonts w:eastAsia="MS Mincho" w:cs="Arial"/>
          <w:b/>
          <w:bCs/>
          <w:szCs w:val="24"/>
          <w:lang w:eastAsia="hr-HR"/>
        </w:rPr>
      </w:pPr>
    </w:p>
    <w:p w:rsidR="001E61A3" w:rsidRDefault="001E61A3" w:rsidP="001E61A3">
      <w:pPr>
        <w:spacing w:line="240" w:lineRule="auto"/>
        <w:rPr>
          <w:rFonts w:eastAsia="MS Mincho" w:cs="Arial"/>
          <w:b/>
          <w:bCs/>
          <w:szCs w:val="24"/>
          <w:lang w:eastAsia="hr-HR"/>
        </w:rPr>
      </w:pPr>
    </w:p>
    <w:p w:rsidR="001E61A3" w:rsidRDefault="001E61A3" w:rsidP="001E61A3">
      <w:pPr>
        <w:spacing w:line="240" w:lineRule="auto"/>
        <w:jc w:val="center"/>
        <w:rPr>
          <w:rFonts w:eastAsia="MS Mincho" w:cs="Arial"/>
          <w:b/>
          <w:bCs/>
          <w:szCs w:val="24"/>
          <w:lang w:eastAsia="hr-HR"/>
        </w:rPr>
      </w:pPr>
      <w:r>
        <w:rPr>
          <w:rFonts w:eastAsia="MS Mincho" w:cs="Arial"/>
          <w:b/>
          <w:bCs/>
          <w:szCs w:val="24"/>
          <w:lang w:eastAsia="hr-HR"/>
        </w:rPr>
        <w:t>P O Z I V A</w:t>
      </w:r>
    </w:p>
    <w:p w:rsidR="001E61A3" w:rsidRDefault="001E61A3" w:rsidP="001E61A3">
      <w:pPr>
        <w:spacing w:line="240" w:lineRule="auto"/>
        <w:jc w:val="both"/>
        <w:rPr>
          <w:rFonts w:cs="Arial"/>
          <w:szCs w:val="24"/>
          <w:shd w:val="clear" w:color="auto" w:fill="FFFFFF"/>
        </w:rPr>
      </w:pPr>
    </w:p>
    <w:p w:rsidR="001E61A3" w:rsidRDefault="001E61A3" w:rsidP="001E61A3">
      <w:pPr>
        <w:spacing w:line="240" w:lineRule="auto"/>
        <w:ind w:firstLine="708"/>
        <w:jc w:val="both"/>
        <w:rPr>
          <w:rFonts w:cs="Arial"/>
          <w:szCs w:val="24"/>
          <w:shd w:val="clear" w:color="auto" w:fill="FFFFFF"/>
        </w:rPr>
      </w:pPr>
    </w:p>
    <w:p w:rsidR="001E61A3" w:rsidRDefault="001E61A3" w:rsidP="001E61A3">
      <w:pPr>
        <w:spacing w:line="240" w:lineRule="auto"/>
        <w:ind w:firstLine="708"/>
        <w:jc w:val="both"/>
        <w:rPr>
          <w:rFonts w:eastAsia="MS Mincho" w:cs="Arial"/>
          <w:szCs w:val="24"/>
          <w:lang w:eastAsia="hr-HR"/>
        </w:rPr>
      </w:pPr>
      <w:r>
        <w:rPr>
          <w:rFonts w:cs="Arial"/>
          <w:szCs w:val="24"/>
          <w:shd w:val="clear" w:color="auto" w:fill="FFFFFF"/>
        </w:rPr>
        <w:t>investitora, vlasnika nekretnine za koju se izdaje građevinska dozvola i nositelja drugih stvarnih prava na toj nekretnini te vlasnika i nositelja drugih stvarnih prava na nekretnini koja neposredno graniči s nekretninom za koju se izdaje građevinska dozvola</w:t>
      </w:r>
      <w:r>
        <w:rPr>
          <w:rFonts w:eastAsia="MS Mincho" w:cs="Arial"/>
          <w:szCs w:val="24"/>
          <w:lang w:eastAsia="hr-HR"/>
        </w:rPr>
        <w:t xml:space="preserve"> za</w:t>
      </w:r>
      <w:r w:rsidR="00CA4A14">
        <w:rPr>
          <w:rFonts w:eastAsia="MS Mincho" w:cs="Arial"/>
          <w:szCs w:val="24"/>
          <w:lang w:eastAsia="hr-HR"/>
        </w:rPr>
        <w:t xml:space="preserve"> </w:t>
      </w:r>
      <w:bookmarkStart w:id="0" w:name="_GoBack"/>
      <w:r w:rsidR="00CA4A14">
        <w:rPr>
          <w:rFonts w:eastAsia="MS Mincho" w:cs="Arial"/>
          <w:szCs w:val="24"/>
          <w:lang w:eastAsia="hr-HR"/>
        </w:rPr>
        <w:t xml:space="preserve">građenje stambene građevine s jednom stambenom jedinicom, bazena i pomoćne građevine na novoformiranoj </w:t>
      </w:r>
      <w:proofErr w:type="spellStart"/>
      <w:r w:rsidR="00CA4A14">
        <w:rPr>
          <w:rFonts w:eastAsia="MS Mincho" w:cs="Arial"/>
          <w:szCs w:val="24"/>
          <w:lang w:eastAsia="hr-HR"/>
        </w:rPr>
        <w:t>k.č</w:t>
      </w:r>
      <w:proofErr w:type="spellEnd"/>
      <w:r w:rsidR="00CA4A14">
        <w:rPr>
          <w:rFonts w:eastAsia="MS Mincho" w:cs="Arial"/>
          <w:szCs w:val="24"/>
          <w:lang w:eastAsia="hr-HR"/>
        </w:rPr>
        <w:t xml:space="preserve">. 920/2, k.o. </w:t>
      </w:r>
      <w:proofErr w:type="spellStart"/>
      <w:r w:rsidR="00CA4A14">
        <w:rPr>
          <w:rFonts w:eastAsia="MS Mincho" w:cs="Arial"/>
          <w:szCs w:val="24"/>
          <w:lang w:eastAsia="hr-HR"/>
        </w:rPr>
        <w:t>Šmrika</w:t>
      </w:r>
      <w:proofErr w:type="spellEnd"/>
      <w:r w:rsidR="00CA4A14">
        <w:rPr>
          <w:rFonts w:eastAsia="MS Mincho" w:cs="Arial"/>
          <w:szCs w:val="24"/>
          <w:lang w:eastAsia="hr-HR"/>
        </w:rPr>
        <w:t xml:space="preserve"> (nastaje od dijela </w:t>
      </w:r>
      <w:proofErr w:type="spellStart"/>
      <w:r w:rsidR="00CA4A14">
        <w:rPr>
          <w:rFonts w:eastAsia="MS Mincho" w:cs="Arial"/>
          <w:szCs w:val="24"/>
          <w:lang w:eastAsia="hr-HR"/>
        </w:rPr>
        <w:t>k.č</w:t>
      </w:r>
      <w:proofErr w:type="spellEnd"/>
      <w:r w:rsidR="00CA4A14">
        <w:rPr>
          <w:rFonts w:eastAsia="MS Mincho" w:cs="Arial"/>
          <w:szCs w:val="24"/>
          <w:lang w:eastAsia="hr-HR"/>
        </w:rPr>
        <w:t xml:space="preserve">. 920, k.o. </w:t>
      </w:r>
      <w:proofErr w:type="spellStart"/>
      <w:r w:rsidR="00CA4A14">
        <w:rPr>
          <w:rFonts w:eastAsia="MS Mincho" w:cs="Arial"/>
          <w:szCs w:val="24"/>
          <w:lang w:eastAsia="hr-HR"/>
        </w:rPr>
        <w:t>Šmrika</w:t>
      </w:r>
      <w:proofErr w:type="spellEnd"/>
      <w:r w:rsidR="00CA4A14">
        <w:rPr>
          <w:rFonts w:eastAsia="MS Mincho" w:cs="Arial"/>
          <w:szCs w:val="24"/>
          <w:lang w:eastAsia="hr-HR"/>
        </w:rPr>
        <w:t>)</w:t>
      </w:r>
      <w:bookmarkEnd w:id="0"/>
      <w:r>
        <w:rPr>
          <w:rFonts w:eastAsia="MS Mincho" w:cs="Arial"/>
          <w:szCs w:val="24"/>
          <w:lang w:eastAsia="hr-HR"/>
        </w:rPr>
        <w:t>, da izvrše uvid u spis radi izjašnjenja.</w:t>
      </w:r>
    </w:p>
    <w:p w:rsidR="001E61A3" w:rsidRDefault="001E61A3" w:rsidP="001E61A3">
      <w:pPr>
        <w:spacing w:line="240" w:lineRule="auto"/>
        <w:ind w:firstLine="708"/>
        <w:jc w:val="both"/>
        <w:rPr>
          <w:rFonts w:eastAsia="MS Mincho" w:cs="Arial"/>
          <w:szCs w:val="24"/>
          <w:lang w:eastAsia="hr-HR"/>
        </w:rPr>
      </w:pPr>
      <w:r>
        <w:rPr>
          <w:rFonts w:eastAsia="MS Mincho" w:cs="Arial"/>
          <w:szCs w:val="24"/>
          <w:lang w:eastAsia="hr-HR"/>
        </w:rPr>
        <w:t xml:space="preserve">Uvid u spis predmeta može izvršiti osoba koja dokaže da ima svojstvo stranke, osobno ili putem opunomoćenika, u prostorijama ovog Upravnog odjela, u </w:t>
      </w:r>
      <w:r>
        <w:rPr>
          <w:rFonts w:eastAsia="Times New Roman" w:cs="Arial"/>
          <w:szCs w:val="24"/>
          <w:lang w:eastAsia="hr-HR"/>
        </w:rPr>
        <w:t>Rijeci</w:t>
      </w:r>
      <w:r>
        <w:rPr>
          <w:rFonts w:eastAsia="MS Mincho" w:cs="Arial"/>
          <w:szCs w:val="24"/>
          <w:lang w:eastAsia="hr-HR"/>
        </w:rPr>
        <w:t xml:space="preserve">, </w:t>
      </w:r>
      <w:r w:rsidR="00CA4A14">
        <w:rPr>
          <w:rFonts w:eastAsia="MS Mincho" w:cs="Arial"/>
          <w:szCs w:val="24"/>
          <w:lang w:eastAsia="hr-HR"/>
        </w:rPr>
        <w:t>Riva 10, I kat, soba 116, dana 25</w:t>
      </w:r>
      <w:r>
        <w:rPr>
          <w:rFonts w:eastAsia="MS Mincho" w:cs="Arial"/>
          <w:szCs w:val="24"/>
          <w:lang w:eastAsia="hr-HR"/>
        </w:rPr>
        <w:t>. rujna 2019. godine u vremenu od 8,30 do 11,00 sati.</w:t>
      </w:r>
    </w:p>
    <w:p w:rsidR="001E61A3" w:rsidRDefault="001E61A3" w:rsidP="001E61A3">
      <w:pPr>
        <w:spacing w:line="240" w:lineRule="auto"/>
        <w:ind w:firstLine="708"/>
        <w:jc w:val="both"/>
        <w:rPr>
          <w:rFonts w:eastAsia="MS Mincho" w:cs="Arial"/>
          <w:szCs w:val="24"/>
          <w:lang w:eastAsia="hr-HR"/>
        </w:rPr>
      </w:pPr>
      <w:r>
        <w:rPr>
          <w:rFonts w:eastAsia="MS Mincho" w:cs="Arial"/>
          <w:szCs w:val="24"/>
          <w:lang w:eastAsia="hr-HR"/>
        </w:rPr>
        <w:t>Sukladno čl. 116. st. 2. Zakona o gradnji („Narodne novine“ br. 153/13, 20/17) ako se građevinska dozvola izdaje za građenje građevine koja neposredno graniči s deset nekretnina ili manje, poziv za uvid u spis predmeta dostavlja se strankama osobnom dostavom, osim u slučaju u kojem je takva dostava nemoguća ili neprikladna, a osobito osobama čija adresa nije upisana u zemljišnoj knjizi niti katastru, nepoznatim nasljednicima i osobama nepoznata boravišta, odnosno sjedišta, a kojima se poziv dostavlja na način propisan stavkom 1. ovoga članka, odnosno javnim pozivom koji se objavljuje na oglasnoj ploči tijela graditeljstva i na njegovim mrežnim stranicama, a upravno tijelo poziv izlaže i na nekretnini za koju se izdaje građevinska dozvola.</w:t>
      </w:r>
    </w:p>
    <w:p w:rsidR="001E61A3" w:rsidRDefault="001E61A3" w:rsidP="001E61A3">
      <w:pPr>
        <w:spacing w:line="240" w:lineRule="auto"/>
        <w:ind w:firstLine="708"/>
        <w:jc w:val="both"/>
        <w:rPr>
          <w:rFonts w:eastAsia="MS Mincho" w:cs="Arial"/>
          <w:szCs w:val="24"/>
          <w:lang w:eastAsia="hr-HR"/>
        </w:rPr>
      </w:pPr>
      <w:r>
        <w:rPr>
          <w:rFonts w:eastAsia="MS Mincho" w:cs="Arial"/>
          <w:szCs w:val="24"/>
          <w:lang w:eastAsia="hr-HR"/>
        </w:rPr>
        <w:t>Građevinska dozvola može se izdati i ako se stranke ne odazovu pozivu.</w:t>
      </w:r>
    </w:p>
    <w:p w:rsidR="001E61A3" w:rsidRDefault="001E61A3" w:rsidP="001E61A3">
      <w:pPr>
        <w:spacing w:line="240" w:lineRule="auto"/>
        <w:jc w:val="both"/>
        <w:rPr>
          <w:rFonts w:eastAsia="MS Mincho" w:cs="Arial"/>
          <w:szCs w:val="24"/>
          <w:lang w:eastAsia="hr-HR"/>
        </w:rPr>
      </w:pPr>
    </w:p>
    <w:p w:rsidR="001E61A3" w:rsidRDefault="001E61A3" w:rsidP="001E61A3">
      <w:pPr>
        <w:spacing w:line="240" w:lineRule="auto"/>
        <w:jc w:val="both"/>
        <w:rPr>
          <w:rFonts w:eastAsia="Times New Roman" w:cs="Arial"/>
          <w:szCs w:val="24"/>
          <w:lang w:eastAsia="hr-HR"/>
        </w:rPr>
      </w:pPr>
      <w:r>
        <w:rPr>
          <w:rFonts w:eastAsia="Times New Roman" w:cs="Arial"/>
          <w:szCs w:val="24"/>
          <w:lang w:eastAsia="hr-HR"/>
        </w:rPr>
        <w:t>DOSTAVITI:</w:t>
      </w:r>
    </w:p>
    <w:p w:rsidR="001E61A3" w:rsidRDefault="001E61A3" w:rsidP="001E61A3">
      <w:pPr>
        <w:spacing w:line="240" w:lineRule="auto"/>
        <w:jc w:val="both"/>
        <w:rPr>
          <w:rFonts w:eastAsia="Times New Roman" w:cs="Arial"/>
          <w:szCs w:val="24"/>
          <w:lang w:eastAsia="hr-HR"/>
        </w:rPr>
      </w:pPr>
      <w:r>
        <w:rPr>
          <w:rFonts w:eastAsia="Times New Roman" w:cs="Arial"/>
          <w:szCs w:val="24"/>
          <w:lang w:eastAsia="hr-HR"/>
        </w:rPr>
        <w:t>1. Oglasna ploča upravnog tijela - 8 dana</w:t>
      </w:r>
    </w:p>
    <w:p w:rsidR="001E61A3" w:rsidRDefault="001E61A3" w:rsidP="001E61A3">
      <w:pPr>
        <w:spacing w:line="240" w:lineRule="auto"/>
        <w:jc w:val="both"/>
        <w:rPr>
          <w:rFonts w:eastAsia="Times New Roman" w:cs="Arial"/>
          <w:szCs w:val="24"/>
          <w:lang w:eastAsia="hr-HR"/>
        </w:rPr>
      </w:pPr>
      <w:r>
        <w:rPr>
          <w:rFonts w:eastAsia="Times New Roman" w:cs="Arial"/>
          <w:szCs w:val="24"/>
          <w:lang w:eastAsia="hr-HR"/>
        </w:rPr>
        <w:t>2. Mrežne stranice upravnog tijela</w:t>
      </w:r>
    </w:p>
    <w:p w:rsidR="001E61A3" w:rsidRDefault="001E61A3" w:rsidP="001E61A3">
      <w:pPr>
        <w:spacing w:line="240" w:lineRule="auto"/>
        <w:jc w:val="both"/>
        <w:rPr>
          <w:rFonts w:eastAsia="Times New Roman" w:cs="Arial"/>
          <w:szCs w:val="24"/>
          <w:lang w:eastAsia="hr-HR"/>
        </w:rPr>
      </w:pPr>
      <w:r>
        <w:rPr>
          <w:rFonts w:eastAsia="Times New Roman" w:cs="Arial"/>
          <w:szCs w:val="24"/>
          <w:lang w:eastAsia="hr-HR"/>
        </w:rPr>
        <w:t>3. Građevna čestica</w:t>
      </w:r>
    </w:p>
    <w:p w:rsidR="001E61A3" w:rsidRPr="00CA4A14" w:rsidRDefault="001E61A3" w:rsidP="00CA4A14">
      <w:pPr>
        <w:spacing w:line="240" w:lineRule="auto"/>
        <w:jc w:val="both"/>
        <w:rPr>
          <w:rFonts w:eastAsia="Times New Roman" w:cs="Arial"/>
          <w:szCs w:val="24"/>
          <w:lang w:eastAsia="hr-HR"/>
        </w:rPr>
      </w:pPr>
      <w:r>
        <w:rPr>
          <w:rFonts w:eastAsia="Times New Roman" w:cs="Arial"/>
          <w:szCs w:val="24"/>
          <w:lang w:eastAsia="hr-HR"/>
        </w:rPr>
        <w:t>4. U spis</w:t>
      </w:r>
    </w:p>
    <w:p w:rsidR="001E61A3" w:rsidRDefault="001E61A3" w:rsidP="001E61A3"/>
    <w:p w:rsidR="002923F6" w:rsidRDefault="00FF5A8B"/>
    <w:sectPr w:rsidR="002923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1A3"/>
    <w:rsid w:val="001E61A3"/>
    <w:rsid w:val="00CA4A14"/>
    <w:rsid w:val="00D257C0"/>
    <w:rsid w:val="00D82EE8"/>
    <w:rsid w:val="00F877FA"/>
    <w:rsid w:val="00FF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4FC40"/>
  <w15:chartTrackingRefBased/>
  <w15:docId w15:val="{7DB37249-8EDC-4A87-BE00-3E0FF5858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22"/>
        <w:lang w:val="hr-HR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61A3"/>
    <w:rPr>
      <w:rFonts w:eastAsia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4A1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4A1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453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 Mitrović Vrh</dc:creator>
  <cp:keywords/>
  <dc:description/>
  <cp:lastModifiedBy>Danijela Mitrović Vrh</cp:lastModifiedBy>
  <cp:revision>3</cp:revision>
  <cp:lastPrinted>2019-09-12T06:55:00Z</cp:lastPrinted>
  <dcterms:created xsi:type="dcterms:W3CDTF">2019-09-12T06:49:00Z</dcterms:created>
  <dcterms:modified xsi:type="dcterms:W3CDTF">2019-09-12T07:03:00Z</dcterms:modified>
</cp:coreProperties>
</file>