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4A4D1E">
        <w:rPr>
          <w:rFonts w:eastAsia="Times New Roman" w:cs="Arial"/>
          <w:szCs w:val="24"/>
          <w:lang w:eastAsia="hr-HR"/>
        </w:rPr>
        <w:t>9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</w:t>
      </w:r>
      <w:r w:rsidR="00F069BF">
        <w:rPr>
          <w:rFonts w:eastAsia="Times New Roman" w:cs="Arial"/>
          <w:szCs w:val="24"/>
          <w:lang w:eastAsia="hr-HR"/>
        </w:rPr>
        <w:t>6</w:t>
      </w:r>
      <w:r w:rsidRPr="00603F8A">
        <w:rPr>
          <w:rFonts w:eastAsia="Times New Roman" w:cs="Arial"/>
          <w:szCs w:val="24"/>
          <w:lang w:eastAsia="hr-HR"/>
        </w:rPr>
        <w:t>/</w:t>
      </w:r>
      <w:r w:rsidR="004A4D1E">
        <w:rPr>
          <w:rFonts w:eastAsia="Times New Roman" w:cs="Arial"/>
          <w:szCs w:val="24"/>
          <w:lang w:eastAsia="hr-HR"/>
        </w:rPr>
        <w:t>42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F069B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4A4D1E">
        <w:rPr>
          <w:rFonts w:eastAsia="Times New Roman" w:cs="Arial"/>
          <w:szCs w:val="24"/>
          <w:lang w:eastAsia="hr-HR"/>
        </w:rPr>
        <w:t>5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4A4D1E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 xml:space="preserve">. </w:t>
      </w:r>
      <w:r w:rsidR="004A4D1E">
        <w:rPr>
          <w:rFonts w:eastAsia="Times New Roman" w:cs="Arial"/>
          <w:szCs w:val="24"/>
          <w:lang w:eastAsia="hr-HR"/>
        </w:rPr>
        <w:t xml:space="preserve">svibnja </w:t>
      </w:r>
      <w:r>
        <w:rPr>
          <w:rFonts w:eastAsia="Times New Roman" w:cs="Arial"/>
          <w:szCs w:val="24"/>
          <w:lang w:eastAsia="hr-HR"/>
        </w:rPr>
        <w:t>201</w:t>
      </w:r>
      <w:r w:rsidR="00F069B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069BF" w:rsidRDefault="00F069BF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>(„Narodne novine'' br. 153/13, 20/17</w:t>
      </w:r>
      <w:r w:rsidR="004A4D1E">
        <w:rPr>
          <w:rFonts w:eastAsia="Times New Roman" w:cs="Arial"/>
          <w:szCs w:val="24"/>
          <w:lang w:eastAsia="hr-HR"/>
        </w:rPr>
        <w:t xml:space="preserve"> i 39/19</w:t>
      </w:r>
      <w:bookmarkStart w:id="0" w:name="_GoBack"/>
      <w:bookmarkEnd w:id="0"/>
      <w:r w:rsidRPr="0079182C">
        <w:rPr>
          <w:rFonts w:eastAsia="Times New Roman" w:cs="Arial"/>
          <w:szCs w:val="24"/>
          <w:lang w:eastAsia="hr-HR"/>
        </w:rPr>
        <w:t xml:space="preserve">), </w:t>
      </w:r>
      <w:r w:rsidRPr="0079182C">
        <w:rPr>
          <w:rFonts w:eastAsia="MS Mincho" w:cs="Arial"/>
          <w:szCs w:val="24"/>
          <w:lang w:eastAsia="hr-HR"/>
        </w:rPr>
        <w:t>u postupku donošenja</w:t>
      </w:r>
      <w:r w:rsidR="004B07D4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4B07D4">
        <w:rPr>
          <w:szCs w:val="24"/>
        </w:rPr>
        <w:t>„</w:t>
      </w:r>
      <w:r w:rsidR="004A4D1E">
        <w:rPr>
          <w:rFonts w:cs="Arial"/>
          <w:szCs w:val="24"/>
        </w:rPr>
        <w:t>Daniela Mandića iz Rijeke, Zdravka Kučića 38 B</w:t>
      </w:r>
      <w:r w:rsidR="00BB110A">
        <w:rPr>
          <w:rFonts w:cs="Arial"/>
          <w:szCs w:val="24"/>
        </w:rPr>
        <w:t xml:space="preserve">, </w:t>
      </w:r>
      <w:r w:rsidR="004A4D1E">
        <w:rPr>
          <w:rFonts w:cs="Arial"/>
          <w:szCs w:val="24"/>
        </w:rPr>
        <w:t>zastupan</w:t>
      </w:r>
      <w:r w:rsidR="004B07D4">
        <w:rPr>
          <w:rFonts w:cs="Arial"/>
          <w:szCs w:val="24"/>
        </w:rPr>
        <w:t xml:space="preserve"> po </w:t>
      </w:r>
      <w:r w:rsidR="004A4D1E">
        <w:rPr>
          <w:rFonts w:cs="Arial"/>
          <w:szCs w:val="24"/>
        </w:rPr>
        <w:t>Marinu Pečariću iz Kastva, Tometići 2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F069BF" w:rsidRDefault="00F069BF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F36FB3" w:rsidRDefault="00F36FB3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069BF" w:rsidRPr="0079182C" w:rsidRDefault="00F069BF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4A4D1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4A4D1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4A4D1E">
        <w:rPr>
          <w:rFonts w:eastAsia="MS Mincho" w:cs="Arial"/>
          <w:szCs w:val="24"/>
          <w:lang w:eastAsia="hr-HR"/>
        </w:rPr>
        <w:t>rekonstrukciju – dogradnju i nadogradnju višeobiteljske građevine u naselju Kastav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</w:t>
      </w:r>
      <w:r w:rsidR="004A4D1E">
        <w:rPr>
          <w:rFonts w:cs="Arial"/>
          <w:szCs w:val="24"/>
        </w:rPr>
        <w:t xml:space="preserve">novoformiranoj k.č. 8037/3 k.o. Kastav ( koja se formira od </w:t>
      </w:r>
      <w:r w:rsidR="00416768" w:rsidRPr="00F2255C">
        <w:rPr>
          <w:rFonts w:cs="Arial"/>
          <w:szCs w:val="24"/>
        </w:rPr>
        <w:t>k.č.</w:t>
      </w:r>
      <w:r w:rsidR="00F069BF">
        <w:rPr>
          <w:rFonts w:cs="Arial"/>
          <w:szCs w:val="24"/>
        </w:rPr>
        <w:t xml:space="preserve"> </w:t>
      </w:r>
      <w:r w:rsidR="004A4D1E">
        <w:rPr>
          <w:rFonts w:cs="Arial"/>
          <w:szCs w:val="24"/>
        </w:rPr>
        <w:t>8037/1, 8037/2 i 8037/3 k.o. Kastav</w:t>
      </w:r>
      <w:r w:rsidR="00F069BF">
        <w:rPr>
          <w:rFonts w:eastAsia="MS Mincho" w:cs="Arial"/>
          <w:color w:val="000000"/>
          <w:szCs w:val="24"/>
        </w:rPr>
        <w:t>)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Pr="004B07D4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0B2D6B">
        <w:rPr>
          <w:rFonts w:eastAsia="MS Mincho" w:cs="Arial"/>
          <w:szCs w:val="20"/>
          <w:lang w:eastAsia="hr-HR"/>
        </w:rPr>
        <w:t>5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="00A1633D" w:rsidRPr="004B07D4">
        <w:rPr>
          <w:rFonts w:eastAsia="MS Mincho" w:cs="Arial"/>
          <w:szCs w:val="24"/>
        </w:rPr>
        <w:t xml:space="preserve">dana </w:t>
      </w:r>
      <w:r w:rsidR="00F069BF">
        <w:rPr>
          <w:rFonts w:eastAsia="MS Mincho" w:cs="Arial"/>
          <w:szCs w:val="24"/>
        </w:rPr>
        <w:t>2</w:t>
      </w:r>
      <w:r w:rsidR="004A4D1E">
        <w:rPr>
          <w:rFonts w:eastAsia="MS Mincho" w:cs="Arial"/>
          <w:szCs w:val="24"/>
        </w:rPr>
        <w:t>7</w:t>
      </w:r>
      <w:r w:rsidR="00A1633D" w:rsidRPr="004B07D4">
        <w:rPr>
          <w:rFonts w:eastAsia="MS Mincho" w:cs="Arial"/>
          <w:szCs w:val="24"/>
        </w:rPr>
        <w:t xml:space="preserve">. </w:t>
      </w:r>
      <w:r w:rsidR="004A4D1E">
        <w:rPr>
          <w:rFonts w:eastAsia="MS Mincho" w:cs="Arial"/>
          <w:szCs w:val="24"/>
        </w:rPr>
        <w:t xml:space="preserve">svibnja </w:t>
      </w:r>
      <w:r w:rsidR="00F069BF">
        <w:rPr>
          <w:rFonts w:eastAsia="MS Mincho" w:cs="Arial"/>
          <w:szCs w:val="24"/>
        </w:rPr>
        <w:t>2019</w:t>
      </w:r>
      <w:r w:rsidR="00A1633D" w:rsidRPr="004B07D4">
        <w:rPr>
          <w:rFonts w:eastAsia="MS Mincho" w:cs="Arial"/>
          <w:szCs w:val="24"/>
        </w:rPr>
        <w:t xml:space="preserve">. godine u vremenu od </w:t>
      </w:r>
      <w:r w:rsidR="00416768" w:rsidRPr="004B07D4">
        <w:rPr>
          <w:rFonts w:eastAsia="MS Mincho" w:cs="Arial"/>
          <w:szCs w:val="24"/>
        </w:rPr>
        <w:t>8</w:t>
      </w:r>
      <w:r w:rsidR="00F0078F" w:rsidRPr="004B07D4">
        <w:rPr>
          <w:rFonts w:eastAsia="MS Mincho" w:cs="Arial"/>
          <w:szCs w:val="24"/>
        </w:rPr>
        <w:t>,</w:t>
      </w:r>
      <w:r w:rsidR="00416768" w:rsidRPr="004B07D4">
        <w:rPr>
          <w:rFonts w:eastAsia="MS Mincho" w:cs="Arial"/>
          <w:szCs w:val="24"/>
        </w:rPr>
        <w:t>3</w:t>
      </w:r>
      <w:r w:rsidR="00F0078F" w:rsidRPr="004B07D4">
        <w:rPr>
          <w:rFonts w:eastAsia="MS Mincho" w:cs="Arial"/>
          <w:szCs w:val="24"/>
        </w:rPr>
        <w:t>0</w:t>
      </w:r>
      <w:r w:rsidR="00A246AC" w:rsidRPr="004B07D4">
        <w:rPr>
          <w:rFonts w:eastAsia="MS Mincho" w:cs="Arial"/>
          <w:szCs w:val="24"/>
        </w:rPr>
        <w:t xml:space="preserve"> do </w:t>
      </w:r>
      <w:r w:rsidR="004B07D4" w:rsidRPr="004B07D4">
        <w:rPr>
          <w:rFonts w:eastAsia="MS Mincho" w:cs="Arial"/>
          <w:szCs w:val="24"/>
        </w:rPr>
        <w:t>10</w:t>
      </w:r>
      <w:r w:rsidR="00F0078F" w:rsidRPr="004B07D4">
        <w:rPr>
          <w:rFonts w:eastAsia="MS Mincho" w:cs="Arial"/>
          <w:szCs w:val="24"/>
        </w:rPr>
        <w:t>,</w:t>
      </w:r>
      <w:r w:rsidR="004B07D4" w:rsidRPr="004B07D4">
        <w:rPr>
          <w:rFonts w:eastAsia="MS Mincho" w:cs="Arial"/>
          <w:szCs w:val="24"/>
        </w:rPr>
        <w:t>3</w:t>
      </w:r>
      <w:r w:rsidR="00A246AC" w:rsidRPr="004B07D4">
        <w:rPr>
          <w:rFonts w:eastAsia="MS Mincho" w:cs="Arial"/>
          <w:szCs w:val="24"/>
        </w:rPr>
        <w:t>0</w:t>
      </w:r>
      <w:r w:rsidR="00A1633D" w:rsidRPr="004B07D4">
        <w:rPr>
          <w:rFonts w:eastAsia="MS Mincho" w:cs="Arial"/>
          <w:szCs w:val="24"/>
        </w:rPr>
        <w:t xml:space="preserve"> sati.</w:t>
      </w:r>
    </w:p>
    <w:p w:rsidR="000952B2" w:rsidRPr="0079182C" w:rsidRDefault="000952B2" w:rsidP="00F36FB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 xml:space="preserve">Sukladno čl. 116. st. </w:t>
      </w:r>
      <w:r w:rsidR="00F36FB3"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>. Zakona o gradnji („Narodne novine“ br. 153/13, 20/17</w:t>
      </w:r>
      <w:r w:rsidR="004A4D1E">
        <w:rPr>
          <w:rFonts w:eastAsia="MS Mincho" w:cs="Arial"/>
          <w:szCs w:val="24"/>
          <w:lang w:eastAsia="hr-HR"/>
        </w:rPr>
        <w:t xml:space="preserve"> i 39/19</w:t>
      </w:r>
      <w:r w:rsidRPr="0079182C">
        <w:rPr>
          <w:rFonts w:eastAsia="MS Mincho" w:cs="Arial"/>
          <w:szCs w:val="24"/>
          <w:lang w:eastAsia="hr-HR"/>
        </w:rPr>
        <w:t xml:space="preserve">) ako se građevinska dozvola izdaje za građenje građevine koja neposredno graniči s </w:t>
      </w:r>
      <w:r w:rsidR="00F36FB3">
        <w:rPr>
          <w:rFonts w:eastAsia="MS Mincho" w:cs="Arial"/>
          <w:szCs w:val="24"/>
          <w:lang w:eastAsia="hr-HR"/>
        </w:rPr>
        <w:t xml:space="preserve">više od </w:t>
      </w:r>
      <w:r w:rsidRPr="0079182C">
        <w:rPr>
          <w:rFonts w:eastAsia="MS Mincho" w:cs="Arial"/>
          <w:szCs w:val="24"/>
          <w:lang w:eastAsia="hr-HR"/>
        </w:rPr>
        <w:t>deset nekretnina,</w:t>
      </w:r>
      <w:r w:rsidR="00F36FB3">
        <w:rPr>
          <w:rFonts w:eastAsia="MS Mincho" w:cs="Arial"/>
          <w:szCs w:val="24"/>
          <w:lang w:eastAsia="hr-HR"/>
        </w:rPr>
        <w:t xml:space="preserve"> odnosno ako se građevinska dozvola izdaje za građenje građevine na građevnoj čestici koje se formira od deset ili više nekretnina ili</w:t>
      </w:r>
      <w:r w:rsidR="00F069BF">
        <w:rPr>
          <w:rFonts w:eastAsia="MS Mincho" w:cs="Arial"/>
          <w:szCs w:val="24"/>
          <w:lang w:eastAsia="hr-HR"/>
        </w:rPr>
        <w:t xml:space="preserve"> z</w:t>
      </w:r>
      <w:r w:rsidR="00F36FB3">
        <w:rPr>
          <w:rFonts w:eastAsia="MS Mincho" w:cs="Arial"/>
          <w:szCs w:val="24"/>
          <w:lang w:eastAsia="hr-HR"/>
        </w:rPr>
        <w:t xml:space="preserve">a građenje građevine unutar obuhvata zahvata u prostoru koji se sastoji od deset ili više nekretnina, stranke se radi uvida u spis predmeta pozivaju javnim pozivom koji se objavljuje </w:t>
      </w:r>
      <w:r w:rsidR="00F069BF">
        <w:rPr>
          <w:rFonts w:eastAsia="MS Mincho" w:cs="Arial"/>
          <w:szCs w:val="24"/>
          <w:lang w:eastAsia="hr-HR"/>
        </w:rPr>
        <w:t>n</w:t>
      </w:r>
      <w:r w:rsidR="00F36FB3">
        <w:rPr>
          <w:rFonts w:eastAsia="MS Mincho" w:cs="Arial"/>
          <w:szCs w:val="24"/>
          <w:lang w:eastAsia="hr-HR"/>
        </w:rPr>
        <w:t>a oglasnoj ploči tijela graditeljstva i na njegovim mrežnim stranicama, a upravno tijelo poziv izlaže i na nekretnini za koju se izdaje građevna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A246A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F069BF" w:rsidRPr="0079182C" w:rsidRDefault="00F069BF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F36FB3">
        <w:rPr>
          <w:rFonts w:eastAsia="Times New Roman" w:cs="Arial"/>
          <w:szCs w:val="24"/>
          <w:lang w:eastAsia="hr-HR"/>
        </w:rPr>
        <w:t>.-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7C" w:rsidRDefault="00656D7C" w:rsidP="003A79E1">
      <w:pPr>
        <w:spacing w:line="240" w:lineRule="auto"/>
      </w:pPr>
      <w:r>
        <w:separator/>
      </w:r>
    </w:p>
  </w:endnote>
  <w:endnote w:type="continuationSeparator" w:id="0">
    <w:p w:rsidR="00656D7C" w:rsidRDefault="00656D7C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7C" w:rsidRDefault="00656D7C" w:rsidP="003A79E1">
      <w:pPr>
        <w:spacing w:line="240" w:lineRule="auto"/>
      </w:pPr>
      <w:r>
        <w:separator/>
      </w:r>
    </w:p>
  </w:footnote>
  <w:footnote w:type="continuationSeparator" w:id="0">
    <w:p w:rsidR="00656D7C" w:rsidRDefault="00656D7C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069BF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0B2D6B"/>
    <w:rsid w:val="00112D61"/>
    <w:rsid w:val="00140BDC"/>
    <w:rsid w:val="001A64B5"/>
    <w:rsid w:val="001E0B54"/>
    <w:rsid w:val="00331E7A"/>
    <w:rsid w:val="00366003"/>
    <w:rsid w:val="003949E4"/>
    <w:rsid w:val="003A79E1"/>
    <w:rsid w:val="003C0E8B"/>
    <w:rsid w:val="004032B8"/>
    <w:rsid w:val="0041046E"/>
    <w:rsid w:val="00416768"/>
    <w:rsid w:val="004310A7"/>
    <w:rsid w:val="004975B2"/>
    <w:rsid w:val="004A4D1E"/>
    <w:rsid w:val="004B07D4"/>
    <w:rsid w:val="0054750B"/>
    <w:rsid w:val="00577CB6"/>
    <w:rsid w:val="005F1C92"/>
    <w:rsid w:val="00603F8A"/>
    <w:rsid w:val="0064536D"/>
    <w:rsid w:val="00656D7C"/>
    <w:rsid w:val="006D33FA"/>
    <w:rsid w:val="00765A81"/>
    <w:rsid w:val="00777869"/>
    <w:rsid w:val="007E5E4D"/>
    <w:rsid w:val="007E606E"/>
    <w:rsid w:val="00826C3A"/>
    <w:rsid w:val="008430C6"/>
    <w:rsid w:val="008D4AFC"/>
    <w:rsid w:val="009614A0"/>
    <w:rsid w:val="00A1633D"/>
    <w:rsid w:val="00A246AC"/>
    <w:rsid w:val="00A61DA1"/>
    <w:rsid w:val="00A83622"/>
    <w:rsid w:val="00B05F8E"/>
    <w:rsid w:val="00B225A1"/>
    <w:rsid w:val="00BB110A"/>
    <w:rsid w:val="00C26CAC"/>
    <w:rsid w:val="00C654CA"/>
    <w:rsid w:val="00CA4901"/>
    <w:rsid w:val="00CD72C9"/>
    <w:rsid w:val="00D75835"/>
    <w:rsid w:val="00DA5D7F"/>
    <w:rsid w:val="00DC13CA"/>
    <w:rsid w:val="00DE7779"/>
    <w:rsid w:val="00E050F0"/>
    <w:rsid w:val="00E32ECA"/>
    <w:rsid w:val="00F0078F"/>
    <w:rsid w:val="00F069BF"/>
    <w:rsid w:val="00F23A4A"/>
    <w:rsid w:val="00F36FB3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5C3"/>
  <w15:docId w15:val="{6D5C546D-CE09-4C63-BA40-6DC9464C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Ivo Mogorović</cp:lastModifiedBy>
  <cp:revision>2</cp:revision>
  <cp:lastPrinted>2019-04-16T12:36:00Z</cp:lastPrinted>
  <dcterms:created xsi:type="dcterms:W3CDTF">2019-05-09T08:26:00Z</dcterms:created>
  <dcterms:modified xsi:type="dcterms:W3CDTF">2019-05-09T08:26:00Z</dcterms:modified>
</cp:coreProperties>
</file>