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EE" w:rsidRDefault="00E742EE" w:rsidP="00E742EE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742EE">
        <w:rPr>
          <w:rFonts w:ascii="Arial" w:eastAsia="SimSun" w:hAnsi="Arial" w:cs="Arial"/>
          <w:sz w:val="24"/>
          <w:szCs w:val="24"/>
          <w:lang w:eastAsia="zh-CN"/>
        </w:rPr>
        <w:t>Na temelju članka 78. Zakona o koncesijama („Narodne novine“ broj 69/17), članka 52. točke 25. Statuta Primorsko-goranske županije („Službene novine Primorsko-goranske županije“ broj 23/9, 9/13 i 25/13 - pročišćeni tekst, 5/18 i 8/18 – pročišćeni tekst)</w:t>
      </w:r>
      <w:r w:rsidRPr="00E742EE">
        <w:rPr>
          <w:rFonts w:ascii="Arial" w:eastAsia="Times New Roman" w:hAnsi="Arial" w:cs="Arial"/>
          <w:sz w:val="24"/>
          <w:szCs w:val="24"/>
        </w:rPr>
        <w:t xml:space="preserve"> i članka 84. Poslovnika Županijske skupštine Primorsko-goranske županije („Službene novine</w:t>
      </w:r>
      <w:r w:rsidRPr="00E742EE">
        <w:rPr>
          <w:rFonts w:ascii="Arial" w:eastAsia="SimSun" w:hAnsi="Arial" w:cs="Arial"/>
          <w:sz w:val="24"/>
          <w:szCs w:val="24"/>
          <w:lang w:eastAsia="zh-CN"/>
        </w:rPr>
        <w:t xml:space="preserve"> Primorsko-goranske županije</w:t>
      </w:r>
      <w:r w:rsidRPr="00E742EE">
        <w:rPr>
          <w:rFonts w:ascii="Arial" w:eastAsia="Times New Roman" w:hAnsi="Arial" w:cs="Arial"/>
          <w:sz w:val="24"/>
          <w:szCs w:val="24"/>
        </w:rPr>
        <w:t xml:space="preserve">“ broj 26/9, 16/3 i 25/13 – pročišćeni tekst), Županijska skupština Primorsko-goranske županije na __. sjednici održanoj dana ___________ 2019. godine donijela je </w:t>
      </w:r>
    </w:p>
    <w:p w:rsidR="00E742EE" w:rsidRPr="00E742EE" w:rsidRDefault="00E742EE" w:rsidP="00E742EE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</w:rPr>
      </w:pPr>
    </w:p>
    <w:p w:rsidR="00E742EE" w:rsidRPr="00E742EE" w:rsidRDefault="00E742EE" w:rsidP="00E742EE">
      <w:pPr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742EE" w:rsidRPr="00E742EE" w:rsidRDefault="00E742EE" w:rsidP="00E742EE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E742EE">
        <w:rPr>
          <w:rFonts w:ascii="Arial" w:eastAsia="Times New Roman" w:hAnsi="Arial" w:cs="Arial"/>
          <w:b/>
          <w:sz w:val="24"/>
          <w:szCs w:val="24"/>
        </w:rPr>
        <w:t>SREDNJOROČNI  PLAN</w:t>
      </w:r>
    </w:p>
    <w:p w:rsidR="00E742EE" w:rsidRPr="00E742EE" w:rsidRDefault="00E742EE" w:rsidP="00E742EE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742EE">
        <w:rPr>
          <w:rFonts w:ascii="Arial" w:eastAsia="SimSun" w:hAnsi="Arial" w:cs="Arial"/>
          <w:sz w:val="24"/>
          <w:szCs w:val="24"/>
          <w:lang w:eastAsia="zh-CN"/>
        </w:rPr>
        <w:t>davanja koncesija na pomorskom dobru</w:t>
      </w:r>
    </w:p>
    <w:p w:rsidR="00E742EE" w:rsidRPr="00E742EE" w:rsidRDefault="00E742EE" w:rsidP="00E742EE">
      <w:pPr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742EE">
        <w:rPr>
          <w:rFonts w:ascii="Arial" w:eastAsia="SimSun" w:hAnsi="Arial" w:cs="Arial"/>
          <w:sz w:val="24"/>
          <w:szCs w:val="24"/>
          <w:lang w:eastAsia="zh-CN"/>
        </w:rPr>
        <w:t>na području Primorsko-goranske županije</w:t>
      </w:r>
      <w:r w:rsidRPr="00E742EE">
        <w:rPr>
          <w:rFonts w:ascii="Arial" w:eastAsia="SimSun" w:hAnsi="Arial" w:cs="Arial"/>
          <w:bCs/>
          <w:sz w:val="24"/>
          <w:szCs w:val="24"/>
          <w:lang w:eastAsia="zh-CN"/>
        </w:rPr>
        <w:t xml:space="preserve"> za</w:t>
      </w:r>
      <w:r w:rsidRPr="00E742EE">
        <w:rPr>
          <w:rFonts w:ascii="Arial" w:eastAsia="SimSun" w:hAnsi="Arial" w:cs="Arial"/>
          <w:sz w:val="24"/>
          <w:szCs w:val="24"/>
          <w:lang w:eastAsia="zh-CN"/>
        </w:rPr>
        <w:t xml:space="preserve"> razdoblje od 2020. do 2022. godine</w:t>
      </w:r>
    </w:p>
    <w:p w:rsidR="00E742EE" w:rsidRPr="00E742EE" w:rsidRDefault="00E742EE" w:rsidP="00E742EE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4"/>
          <w:szCs w:val="24"/>
          <w:lang w:eastAsia="zh-CN"/>
        </w:rPr>
      </w:pPr>
      <w:r w:rsidRPr="00E742EE">
        <w:rPr>
          <w:rFonts w:ascii="Arial" w:eastAsia="SimSun" w:hAnsi="Arial" w:cs="Arial"/>
          <w:b/>
          <w:sz w:val="24"/>
          <w:szCs w:val="24"/>
          <w:lang w:eastAsia="zh-CN"/>
        </w:rPr>
        <w:t>Članak 1.</w:t>
      </w:r>
    </w:p>
    <w:p w:rsidR="00E742EE" w:rsidRPr="00E742EE" w:rsidRDefault="00E742EE" w:rsidP="00E7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9"/>
          <w:lang w:eastAsia="hr-HR"/>
        </w:rPr>
      </w:pPr>
      <w:r w:rsidRPr="00E742EE">
        <w:rPr>
          <w:rFonts w:ascii="Arial" w:eastAsia="Times New Roman" w:hAnsi="Arial" w:cs="Arial"/>
          <w:sz w:val="24"/>
          <w:szCs w:val="19"/>
          <w:lang w:eastAsia="hr-HR"/>
        </w:rPr>
        <w:tab/>
        <w:t xml:space="preserve">Srednjoročni Plan davanja koncesija na pomorskom dobru na području Primorsko-goranske županije </w:t>
      </w:r>
      <w:r w:rsidRPr="00E742EE">
        <w:rPr>
          <w:rFonts w:ascii="Arial" w:eastAsia="Times New Roman" w:hAnsi="Arial" w:cs="Arial"/>
          <w:bCs/>
          <w:sz w:val="24"/>
          <w:szCs w:val="24"/>
          <w:lang w:eastAsia="hr-HR"/>
        </w:rPr>
        <w:t>za</w:t>
      </w:r>
      <w:r w:rsidRPr="00E742EE">
        <w:rPr>
          <w:rFonts w:ascii="Arial" w:eastAsia="Times New Roman" w:hAnsi="Arial" w:cs="Arial"/>
          <w:sz w:val="24"/>
          <w:szCs w:val="24"/>
          <w:lang w:eastAsia="hr-HR"/>
        </w:rPr>
        <w:t xml:space="preserve"> razdoblje od 2020. do 2022. godine</w:t>
      </w:r>
      <w:r w:rsidRPr="00E742EE">
        <w:rPr>
          <w:rFonts w:ascii="Arial" w:eastAsia="Times New Roman" w:hAnsi="Arial" w:cs="Arial"/>
          <w:sz w:val="24"/>
          <w:szCs w:val="19"/>
          <w:lang w:eastAsia="hr-HR"/>
        </w:rPr>
        <w:t xml:space="preserve"> (dalje u tekstu: Srednjoročni plan) sadrži: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>a) planirani broj koncesija,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>b) predviđene vrste i predmete koncesija,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>c) rokove na koje se koncesije planiranju dati,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>d) pravnu osnovu za davanje koncesije,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>e) procijenjenu godišnju naknadu za pojedinu koncesiju,</w:t>
      </w:r>
    </w:p>
    <w:p w:rsidR="00E742EE" w:rsidRPr="00E742EE" w:rsidRDefault="00E742EE" w:rsidP="00E742EE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742EE">
        <w:rPr>
          <w:rFonts w:ascii="Arial" w:eastAsia="Times New Roman" w:hAnsi="Arial" w:cs="Arial"/>
          <w:sz w:val="24"/>
          <w:szCs w:val="24"/>
        </w:rPr>
        <w:t xml:space="preserve">f) </w:t>
      </w:r>
      <w:r w:rsidRPr="00E742EE">
        <w:rPr>
          <w:rFonts w:ascii="Arial" w:eastAsia="Times New Roman" w:hAnsi="Arial" w:cs="Arial"/>
          <w:sz w:val="24"/>
          <w:szCs w:val="24"/>
          <w:lang w:eastAsia="zh-CN"/>
        </w:rPr>
        <w:t>popis ugovora o koncesiji koji istječu u godini na koju se plan odnosi s napomenom za koje se koncesije planira provedba novog postupka davanja koncesije, te obrazloženjem razloga za eventualno neplaniranje davanja nove koncesije.</w:t>
      </w:r>
    </w:p>
    <w:p w:rsidR="00E742EE" w:rsidRPr="00E742EE" w:rsidRDefault="00E742EE" w:rsidP="00E742EE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E742EE">
        <w:rPr>
          <w:rFonts w:ascii="Arial" w:eastAsia="SimSun" w:hAnsi="Arial" w:cs="Arial"/>
          <w:b/>
          <w:bCs/>
          <w:sz w:val="24"/>
          <w:szCs w:val="24"/>
          <w:lang w:eastAsia="zh-CN"/>
        </w:rPr>
        <w:t>Članak 2.</w:t>
      </w:r>
    </w:p>
    <w:p w:rsidR="00E742EE" w:rsidRPr="00E742EE" w:rsidRDefault="00E742EE" w:rsidP="00E742EE">
      <w:pPr>
        <w:spacing w:after="0" w:line="240" w:lineRule="auto"/>
        <w:jc w:val="both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E742EE">
        <w:rPr>
          <w:rFonts w:ascii="Arial" w:eastAsia="SimSun" w:hAnsi="Arial" w:cs="Arial"/>
          <w:sz w:val="24"/>
          <w:szCs w:val="24"/>
          <w:lang w:eastAsia="zh-CN"/>
        </w:rPr>
        <w:tab/>
        <w:t>Primorsko-goranska županija planira u razdoblju od 2020. do 2022. godine dati koncesije na pomorskom dobru kako slijedi:</w:t>
      </w:r>
    </w:p>
    <w:p w:rsidR="00E742EE" w:rsidRPr="00E742EE" w:rsidRDefault="00E742EE" w:rsidP="00E742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742EE" w:rsidRPr="00E742EE" w:rsidRDefault="00E742EE" w:rsidP="00E742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742E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 </w:t>
      </w:r>
      <w:r w:rsidRPr="00E742EE">
        <w:rPr>
          <w:rFonts w:ascii="Arial" w:eastAsia="Times New Roman" w:hAnsi="Arial" w:cs="Arial"/>
          <w:sz w:val="24"/>
          <w:szCs w:val="24"/>
          <w:lang w:eastAsia="hr-HR"/>
        </w:rPr>
        <w:t>Prijedlog Plana davanja koncesija na pomorskom dobru na području Primorsko–goranske županije za 2020. godinu:</w:t>
      </w:r>
    </w:p>
    <w:p w:rsidR="00E742EE" w:rsidRPr="00E742EE" w:rsidRDefault="00E742EE" w:rsidP="00E742E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295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097"/>
        <w:gridCol w:w="1882"/>
        <w:gridCol w:w="1645"/>
        <w:gridCol w:w="1292"/>
        <w:gridCol w:w="1416"/>
      </w:tblGrid>
      <w:tr w:rsidR="00E742EE" w:rsidRPr="00E742EE" w:rsidTr="00623520">
        <w:trPr>
          <w:trHeight w:val="592"/>
        </w:trPr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3366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209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koncesije</w:t>
            </w:r>
          </w:p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Koncesija na pomorskom dobru</w:t>
            </w:r>
          </w:p>
        </w:tc>
        <w:tc>
          <w:tcPr>
            <w:tcW w:w="18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Zakonska osnova za davanje koncesije 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Gospodarski razvojni planovi sektora</w:t>
            </w:r>
          </w:p>
        </w:tc>
        <w:tc>
          <w:tcPr>
            <w:tcW w:w="12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Vrijeme davanja koncesije i trajanje</w:t>
            </w: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Procjena godišnje naknade za koncesiju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097" w:type="dxa"/>
            <w:tcBorders>
              <w:top w:val="double" w:sz="4" w:space="0" w:color="auto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luke posebne namjene brodogradilišta Lučica u Banjolu, Grad Rab</w:t>
            </w:r>
          </w:p>
        </w:tc>
        <w:tc>
          <w:tcPr>
            <w:tcW w:w="1882" w:type="dxa"/>
            <w:tcBorders>
              <w:top w:val="double" w:sz="4" w:space="0" w:color="auto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double" w:sz="4" w:space="0" w:color="auto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single" w:sz="4" w:space="0" w:color="003366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003366"/>
              <w:left w:val="doub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09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privezišta Poljana, Grad Mali Lošinj</w:t>
            </w:r>
          </w:p>
        </w:tc>
        <w:tc>
          <w:tcPr>
            <w:tcW w:w="188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003366"/>
              <w:left w:val="nil"/>
              <w:bottom w:val="single" w:sz="4" w:space="0" w:color="003366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003366"/>
              <w:left w:val="doub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09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gospodarsko korištenje luke posebne namjene YC Marina, Grad Mali Lošinj  </w:t>
            </w:r>
          </w:p>
        </w:tc>
        <w:tc>
          <w:tcPr>
            <w:tcW w:w="188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003366"/>
              <w:left w:val="nil"/>
              <w:bottom w:val="single" w:sz="4" w:space="0" w:color="003366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003366"/>
              <w:left w:val="doub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4.</w:t>
            </w:r>
          </w:p>
        </w:tc>
        <w:tc>
          <w:tcPr>
            <w:tcW w:w="209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luke posebne namjene brodogradilišta Stjepan Horvat, Grad Bakar</w:t>
            </w:r>
          </w:p>
        </w:tc>
        <w:tc>
          <w:tcPr>
            <w:tcW w:w="188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003366"/>
              <w:left w:val="nil"/>
              <w:bottom w:val="single" w:sz="4" w:space="0" w:color="003366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003366"/>
              <w:left w:val="doub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09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luke posebne namjene brodogradilišta Petra Španjola, Grad Rab</w:t>
            </w:r>
          </w:p>
        </w:tc>
        <w:tc>
          <w:tcPr>
            <w:tcW w:w="188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003366"/>
              <w:left w:val="nil"/>
              <w:bottom w:val="single" w:sz="4" w:space="0" w:color="003366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003366"/>
              <w:left w:val="doub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09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luke posebne namjene brodogradilišta Pičuljan d.o.o., Grad Rab</w:t>
            </w:r>
          </w:p>
        </w:tc>
        <w:tc>
          <w:tcPr>
            <w:tcW w:w="188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003366"/>
              <w:left w:val="nil"/>
              <w:bottom w:val="single" w:sz="4" w:space="0" w:color="003366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003366"/>
              <w:left w:val="doub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209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luke posebne namjene brodogradilišta Zdravko Pičuljana, Grad Rab</w:t>
            </w:r>
          </w:p>
        </w:tc>
        <w:tc>
          <w:tcPr>
            <w:tcW w:w="188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003366"/>
              <w:left w:val="nil"/>
              <w:bottom w:val="single" w:sz="4" w:space="0" w:color="003366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003366"/>
              <w:left w:val="doub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09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privezišta Tovar, Grad Mali Lošinj</w:t>
            </w:r>
          </w:p>
        </w:tc>
        <w:tc>
          <w:tcPr>
            <w:tcW w:w="188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003366"/>
              <w:left w:val="nil"/>
              <w:bottom w:val="single" w:sz="4" w:space="0" w:color="003366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003366"/>
              <w:left w:val="doub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09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luke posebne namjene sportske luke Mrtvi kanal, Grad Rijeka</w:t>
            </w:r>
          </w:p>
        </w:tc>
        <w:tc>
          <w:tcPr>
            <w:tcW w:w="188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003366"/>
              <w:left w:val="nil"/>
              <w:bottom w:val="single" w:sz="4" w:space="0" w:color="003366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003366"/>
              <w:left w:val="doub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09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luke posebne namjene sidrišta Bok, otok Susak, Grad Mali Lošinj</w:t>
            </w:r>
          </w:p>
        </w:tc>
        <w:tc>
          <w:tcPr>
            <w:tcW w:w="188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003366"/>
              <w:left w:val="nil"/>
              <w:bottom w:val="single" w:sz="4" w:space="0" w:color="003366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luke posebne namjene sidrišta Krivica, Grad Mali Lošinj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luke posebne namjene sidrišta Kolorat i Majiška, Grad Mali Lošinj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Zakon o pomorskom dobru i morskim lukama (čl. 18.) i Zakon o koncesijama(čl. 7.)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gospodarsko korištenje plaže ispred Hotela Punta u Velom Lošinju, Grad Mali Lošinj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plaže ispred kampa Ježevac, Grad Krk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plaže Padova I, Grad Rab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plaže Balustrada, Grad Crikvenica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plaže ispred hotelskog resorta Zagori, Grad Novi Vinodolski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vrha plaže Omorika, Grad Crikvenica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plaže Ičići, Grad Opatiji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 kn</w:t>
            </w:r>
          </w:p>
        </w:tc>
      </w:tr>
      <w:tr w:rsidR="00E742EE" w:rsidRPr="00E742EE" w:rsidTr="00623520">
        <w:trPr>
          <w:trHeight w:val="567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plaže Medveja, Općina Lovran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 kn</w:t>
            </w:r>
          </w:p>
        </w:tc>
      </w:tr>
    </w:tbl>
    <w:p w:rsidR="00E742EE" w:rsidRDefault="00E742EE" w:rsidP="00E742EE">
      <w:pPr>
        <w:spacing w:after="0" w:line="240" w:lineRule="auto"/>
        <w:jc w:val="both"/>
        <w:outlineLvl w:val="0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jc w:val="both"/>
        <w:outlineLvl w:val="0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E742EE" w:rsidRPr="00E742EE" w:rsidRDefault="00E742EE" w:rsidP="00E742E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742EE">
        <w:rPr>
          <w:rFonts w:ascii="Arial" w:eastAsia="Times New Roman" w:hAnsi="Arial" w:cs="Arial"/>
          <w:sz w:val="24"/>
          <w:szCs w:val="24"/>
          <w:lang w:eastAsia="hr-HR"/>
        </w:rPr>
        <w:t>Prijedlog plana davanja koncesija na pomorskom dobru na području Primorsko–goranske županije za 2021. godinu:</w:t>
      </w:r>
    </w:p>
    <w:p w:rsidR="00E742EE" w:rsidRPr="00E742EE" w:rsidRDefault="00E742EE" w:rsidP="00E742EE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tbl>
      <w:tblPr>
        <w:tblW w:w="9295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729"/>
        <w:gridCol w:w="2332"/>
        <w:gridCol w:w="1881"/>
        <w:gridCol w:w="1645"/>
        <w:gridCol w:w="1292"/>
        <w:gridCol w:w="1416"/>
      </w:tblGrid>
      <w:tr w:rsidR="00E742EE" w:rsidRPr="00E742EE" w:rsidTr="00623520">
        <w:trPr>
          <w:trHeight w:val="592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3366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233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koncesije</w:t>
            </w:r>
          </w:p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Koncesija na pomorskom dobru</w:t>
            </w:r>
          </w:p>
        </w:tc>
        <w:tc>
          <w:tcPr>
            <w:tcW w:w="188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Zakonska osnova za davanje koncesije 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Gospodarski razvojni planovi sektora</w:t>
            </w:r>
          </w:p>
        </w:tc>
        <w:tc>
          <w:tcPr>
            <w:tcW w:w="12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Vrijeme davanja koncesije i trajanje</w:t>
            </w: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Procjena godišnje naknade za koncesiju</w:t>
            </w:r>
          </w:p>
        </w:tc>
      </w:tr>
      <w:tr w:rsidR="00E742EE" w:rsidRPr="00E742EE" w:rsidTr="00623520">
        <w:trPr>
          <w:trHeight w:val="567"/>
        </w:trPr>
        <w:tc>
          <w:tcPr>
            <w:tcW w:w="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gospodarsko korištenje plaže </w:t>
            </w:r>
            <w:r w:rsidRPr="00E742EE"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  <w:t>Omorika, Dramalj, Grad Crikvenica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 kn</w:t>
            </w:r>
          </w:p>
        </w:tc>
      </w:tr>
      <w:tr w:rsidR="00E742EE" w:rsidRPr="00E742EE" w:rsidTr="00623520">
        <w:trPr>
          <w:trHeight w:val="567"/>
        </w:trPr>
        <w:tc>
          <w:tcPr>
            <w:tcW w:w="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gospodarsko korištenje plaže </w:t>
            </w:r>
            <w:r w:rsidRPr="00E742EE"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  <w:t>ispred autokampa Slamni u Klimnu,  Općina Dobrinj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 kn</w:t>
            </w:r>
          </w:p>
        </w:tc>
      </w:tr>
      <w:tr w:rsidR="00E742EE" w:rsidRPr="00E742EE" w:rsidTr="00623520">
        <w:trPr>
          <w:trHeight w:val="654"/>
        </w:trPr>
        <w:tc>
          <w:tcPr>
            <w:tcW w:w="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gospodarsko korištenje plaže </w:t>
            </w:r>
            <w:r w:rsidRPr="00E742EE"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  <w:t>ispred Ville Medveja, Općina Lovran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 kn</w:t>
            </w:r>
          </w:p>
        </w:tc>
      </w:tr>
      <w:tr w:rsidR="00E742EE" w:rsidRPr="00E742EE" w:rsidTr="00623520">
        <w:trPr>
          <w:trHeight w:val="567"/>
        </w:trPr>
        <w:tc>
          <w:tcPr>
            <w:tcW w:w="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gospodarsko korištenje luke posebne namjene sportske luke Stara voda, Općina </w:t>
            </w:r>
            <w:r w:rsidRPr="00E742EE"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  <w:t>Kostrena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 kn</w:t>
            </w:r>
          </w:p>
        </w:tc>
      </w:tr>
      <w:tr w:rsidR="00E742EE" w:rsidRPr="00E742EE" w:rsidTr="00623520">
        <w:trPr>
          <w:trHeight w:val="567"/>
        </w:trPr>
        <w:tc>
          <w:tcPr>
            <w:tcW w:w="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gospodarsko korištenje plaže </w:t>
            </w:r>
            <w:r w:rsidRPr="00E742EE"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  <w:t>ispred Vile Sv. Rok, Općina Lovran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125.000,00 kn</w:t>
            </w:r>
          </w:p>
        </w:tc>
      </w:tr>
      <w:tr w:rsidR="00E742EE" w:rsidRPr="00E742EE" w:rsidTr="00623520">
        <w:trPr>
          <w:trHeight w:val="567"/>
        </w:trPr>
        <w:tc>
          <w:tcPr>
            <w:tcW w:w="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gospodarsko korištenje plaže </w:t>
            </w:r>
            <w:r w:rsidRPr="00E742EE"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  <w:t>ispred nudističkog kampa  Bunculuka, Općina Baška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 kn</w:t>
            </w:r>
          </w:p>
        </w:tc>
      </w:tr>
      <w:tr w:rsidR="00E742EE" w:rsidRPr="00E742EE" w:rsidTr="00623520">
        <w:trPr>
          <w:trHeight w:val="567"/>
        </w:trPr>
        <w:tc>
          <w:tcPr>
            <w:tcW w:w="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gospodarsko korištenje plaže </w:t>
            </w:r>
            <w:r w:rsidRPr="00E742EE"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  <w:t>ispred hotela Miramar, Grad Opatija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 kn</w:t>
            </w:r>
          </w:p>
        </w:tc>
      </w:tr>
      <w:tr w:rsidR="00E742EE" w:rsidRPr="00E742EE" w:rsidTr="00623520">
        <w:trPr>
          <w:trHeight w:val="567"/>
        </w:trPr>
        <w:tc>
          <w:tcPr>
            <w:tcW w:w="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gospodarsko korištenje plaže </w:t>
            </w:r>
            <w:r w:rsidRPr="00E742EE"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  <w:t>ispred TN Bučanje, Nerezine, Grad Mali Lošinj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165.000,00 kn</w:t>
            </w:r>
          </w:p>
        </w:tc>
      </w:tr>
      <w:tr w:rsidR="00E742EE" w:rsidRPr="00E742EE" w:rsidTr="00623520">
        <w:trPr>
          <w:trHeight w:val="567"/>
        </w:trPr>
        <w:tc>
          <w:tcPr>
            <w:tcW w:w="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gospodarsko korištenje plaže </w:t>
            </w:r>
            <w:r w:rsidRPr="00E742EE"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  <w:t>ispred hotela Bristol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 kn</w:t>
            </w:r>
          </w:p>
        </w:tc>
      </w:tr>
    </w:tbl>
    <w:p w:rsidR="00E742EE" w:rsidRPr="00E742EE" w:rsidRDefault="00E742EE" w:rsidP="00E742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742EE" w:rsidRPr="00E742EE" w:rsidRDefault="00E742EE" w:rsidP="00E742E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742EE">
        <w:rPr>
          <w:rFonts w:ascii="Arial" w:eastAsia="Times New Roman" w:hAnsi="Arial" w:cs="Arial"/>
          <w:sz w:val="24"/>
          <w:szCs w:val="24"/>
          <w:lang w:eastAsia="hr-HR"/>
        </w:rPr>
        <w:t>Prijedlog plana davanja koncesija na pomorskom dobru na području Primorsko–goranske županije za 2022. godinu:</w:t>
      </w:r>
    </w:p>
    <w:p w:rsidR="00E742EE" w:rsidRPr="00E742EE" w:rsidRDefault="00E742EE" w:rsidP="00E742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295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678"/>
        <w:gridCol w:w="2382"/>
        <w:gridCol w:w="1882"/>
        <w:gridCol w:w="1645"/>
        <w:gridCol w:w="1292"/>
        <w:gridCol w:w="1416"/>
      </w:tblGrid>
      <w:tr w:rsidR="00E742EE" w:rsidRPr="00E742EE" w:rsidTr="00623520">
        <w:trPr>
          <w:trHeight w:val="592"/>
        </w:trPr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3366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23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koncesije</w:t>
            </w:r>
          </w:p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Koncesija na pomorskom dobru</w:t>
            </w:r>
          </w:p>
        </w:tc>
        <w:tc>
          <w:tcPr>
            <w:tcW w:w="18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Zakonska osnova za davanje koncesije 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Gospodarski razvojni planovi sektora</w:t>
            </w:r>
          </w:p>
        </w:tc>
        <w:tc>
          <w:tcPr>
            <w:tcW w:w="12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Vrijeme davanja koncesije i trajanje</w:t>
            </w: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Procjena godišnje naknade za koncesiju</w:t>
            </w:r>
          </w:p>
        </w:tc>
      </w:tr>
      <w:tr w:rsidR="00E742EE" w:rsidRPr="00E742EE" w:rsidTr="00623520">
        <w:trPr>
          <w:trHeight w:val="567"/>
        </w:trPr>
        <w:tc>
          <w:tcPr>
            <w:tcW w:w="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tabs>
                <w:tab w:val="left" w:pos="4"/>
                <w:tab w:val="left" w:pos="192"/>
              </w:tabs>
              <w:spacing w:after="0" w:line="240" w:lineRule="auto"/>
              <w:ind w:left="360" w:hanging="356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plaže i</w:t>
            </w:r>
            <w:r w:rsidRPr="00E742EE"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  <w:t>spred hotela Exelsior, Općina Lovran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 kn</w:t>
            </w:r>
          </w:p>
        </w:tc>
      </w:tr>
      <w:tr w:rsidR="00E742EE" w:rsidRPr="00E742EE" w:rsidTr="00623520">
        <w:trPr>
          <w:trHeight w:val="567"/>
        </w:trPr>
        <w:tc>
          <w:tcPr>
            <w:tcW w:w="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ind w:left="4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gospodarsko korištenje plaže </w:t>
            </w:r>
            <w:r w:rsidRPr="00E742EE"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  <w:t>Ispred kampa Poljana-sjever, Grad Mali Lošinj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 kn</w:t>
            </w:r>
          </w:p>
        </w:tc>
      </w:tr>
      <w:tr w:rsidR="00E742EE" w:rsidRPr="00E742EE" w:rsidTr="00623520">
        <w:trPr>
          <w:trHeight w:val="567"/>
        </w:trPr>
        <w:tc>
          <w:tcPr>
            <w:tcW w:w="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ind w:left="4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gospodarsko korištenje ugostiteljske terase </w:t>
            </w:r>
            <w:r w:rsidRPr="00E742EE"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  <w:t>ispred bara Hamingway, Grad Opatija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 kn</w:t>
            </w:r>
          </w:p>
        </w:tc>
      </w:tr>
      <w:tr w:rsidR="00E742EE" w:rsidRPr="00E742EE" w:rsidTr="00623520">
        <w:trPr>
          <w:trHeight w:val="567"/>
        </w:trPr>
        <w:tc>
          <w:tcPr>
            <w:tcW w:w="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ind w:left="4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gospodarsko korištenje plaže </w:t>
            </w:r>
            <w:r w:rsidRPr="00E742EE"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  <w:t>nudističkog kampa Sunčana uvala, Grad Mali Lošinj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 kn</w:t>
            </w:r>
          </w:p>
        </w:tc>
      </w:tr>
      <w:tr w:rsidR="00E742EE" w:rsidRPr="00E742EE" w:rsidTr="00623520">
        <w:trPr>
          <w:trHeight w:val="567"/>
        </w:trPr>
        <w:tc>
          <w:tcPr>
            <w:tcW w:w="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plaže i</w:t>
            </w:r>
            <w:r w:rsidRPr="00E742EE"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  <w:t>spred autokampa Konobe, Općina Punat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270.000,00 kn</w:t>
            </w:r>
          </w:p>
        </w:tc>
      </w:tr>
      <w:tr w:rsidR="00E742EE" w:rsidRPr="00E742EE" w:rsidTr="00623520">
        <w:trPr>
          <w:trHeight w:val="567"/>
        </w:trPr>
        <w:tc>
          <w:tcPr>
            <w:tcW w:w="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gospodarsko korištenje sunčališta na gatu </w:t>
            </w:r>
            <w:r w:rsidRPr="00E742EE">
              <w:rPr>
                <w:rFonts w:ascii="Tahoma" w:eastAsia="SimSun" w:hAnsi="Tahoma" w:cs="Tahoma"/>
                <w:color w:val="000000"/>
                <w:sz w:val="16"/>
                <w:szCs w:val="16"/>
                <w:lang w:eastAsia="zh-CN"/>
              </w:rPr>
              <w:t>ispred vile Karolina u uvali Čikat, Grad Mali Lošinj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 kn</w:t>
            </w:r>
          </w:p>
        </w:tc>
      </w:tr>
    </w:tbl>
    <w:p w:rsidR="00E742EE" w:rsidRPr="00E742EE" w:rsidRDefault="00E742EE" w:rsidP="00E742EE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E742EE">
        <w:rPr>
          <w:rFonts w:ascii="Arial" w:eastAsia="Times New Roman" w:hAnsi="Arial" w:cs="Arial"/>
          <w:b/>
          <w:sz w:val="24"/>
          <w:szCs w:val="24"/>
        </w:rPr>
        <w:t>Članak 3.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742EE">
        <w:rPr>
          <w:rFonts w:ascii="Arial" w:eastAsia="SimSun" w:hAnsi="Arial" w:cs="Arial"/>
          <w:sz w:val="24"/>
          <w:szCs w:val="24"/>
          <w:lang w:eastAsia="zh-CN"/>
        </w:rPr>
        <w:t>U razdoblju od 2020. do 2022. godine planiraju se dati koncesije na pomorskom dobru i temeljem inicijativa fizičkih/pravnih osoba, te koncesije za posebnu upotrebu pomorskoga dobra za instalacije odvodnje i druge objekte komunalne infrastrukture.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SimSun" w:hAnsi="Arial" w:cs="Arial"/>
          <w:sz w:val="24"/>
          <w:szCs w:val="24"/>
          <w:lang w:eastAsia="zh-CN"/>
        </w:rPr>
        <w:t xml:space="preserve">U razdoblju od 2020. do 2022. </w:t>
      </w:r>
      <w:r w:rsidRPr="00E742EE">
        <w:rPr>
          <w:rFonts w:ascii="Arial" w:eastAsia="Times New Roman" w:hAnsi="Arial" w:cs="Arial"/>
          <w:sz w:val="24"/>
          <w:szCs w:val="24"/>
        </w:rPr>
        <w:t>planiraju se provesti i postupci davanja koncesija na pomorskom dobru za lokacije sadržane u planovima iz prethodnih godina za koje postupak nije proveden ili je u tijeku.</w:t>
      </w:r>
    </w:p>
    <w:p w:rsidR="00E742EE" w:rsidRPr="00E742EE" w:rsidRDefault="00187D10" w:rsidP="00E742EE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P</w:t>
      </w:r>
      <w:r w:rsidR="00E742EE" w:rsidRPr="00E742EE">
        <w:rPr>
          <w:rFonts w:ascii="Arial" w:eastAsia="SimSun" w:hAnsi="Arial" w:cs="Arial"/>
          <w:sz w:val="24"/>
          <w:szCs w:val="24"/>
          <w:lang w:eastAsia="zh-CN"/>
        </w:rPr>
        <w:t>ostupci davanja koncesije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provest će se</w:t>
      </w:r>
      <w:r w:rsidR="00E742EE" w:rsidRPr="00E742EE">
        <w:rPr>
          <w:rFonts w:ascii="Arial" w:eastAsia="SimSun" w:hAnsi="Arial" w:cs="Arial"/>
          <w:sz w:val="24"/>
          <w:szCs w:val="24"/>
          <w:lang w:eastAsia="zh-CN"/>
        </w:rPr>
        <w:t xml:space="preserve"> ukoliko budu ispunjeni uvjeti propisani u odredbama Zakona o koncesijama i Zakona o pomorskom dobru i morskim lukama uz uvjet upisa pomorskoga dobra u Zemljišnoj knjizi, te razriješenim imovinsko pravnim odnosima na području koje se daje u koncesiju.</w:t>
      </w:r>
    </w:p>
    <w:p w:rsidR="00E742EE" w:rsidRPr="00E742EE" w:rsidRDefault="00E742EE" w:rsidP="00E742EE">
      <w:pPr>
        <w:spacing w:after="0" w:line="240" w:lineRule="auto"/>
        <w:ind w:firstLine="709"/>
        <w:jc w:val="both"/>
        <w:outlineLvl w:val="0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E742EE">
        <w:rPr>
          <w:rFonts w:ascii="Arial" w:eastAsia="Times New Roman" w:hAnsi="Arial" w:cs="Arial"/>
          <w:b/>
          <w:sz w:val="24"/>
          <w:szCs w:val="24"/>
        </w:rPr>
        <w:t>Članak 4</w:t>
      </w:r>
      <w:r w:rsidRPr="00E742EE">
        <w:rPr>
          <w:rFonts w:ascii="Arial" w:eastAsia="Times New Roman" w:hAnsi="Arial" w:cs="Arial"/>
          <w:b/>
          <w:vanish/>
          <w:sz w:val="24"/>
          <w:szCs w:val="24"/>
        </w:rPr>
        <w:t>lanak 3niranje pomorskog dobra, Usluge promiđbe i informiranja tručnog osposobljavanja zadužen je djelatnik Darko Čubranić</w:t>
      </w:r>
      <w:r w:rsidRPr="00E742EE">
        <w:rPr>
          <w:rFonts w:ascii="Arial" w:eastAsia="Times New Roman" w:hAnsi="Arial" w:cs="Arial"/>
          <w:b/>
          <w:vanish/>
          <w:sz w:val="24"/>
          <w:szCs w:val="24"/>
        </w:rPr>
        <w:pgNum/>
      </w:r>
      <w:r w:rsidRPr="00E742EE">
        <w:rPr>
          <w:rFonts w:ascii="Arial" w:eastAsia="Times New Roman" w:hAnsi="Arial" w:cs="Arial"/>
          <w:b/>
          <w:vanish/>
          <w:sz w:val="24"/>
          <w:szCs w:val="24"/>
        </w:rPr>
        <w:pgNum/>
      </w:r>
      <w:r w:rsidRPr="00E742EE">
        <w:rPr>
          <w:rFonts w:ascii="Arial" w:eastAsia="Times New Roman" w:hAnsi="Arial" w:cs="Arial"/>
          <w:b/>
          <w:vanish/>
          <w:sz w:val="24"/>
          <w:szCs w:val="24"/>
        </w:rPr>
        <w:pgNum/>
      </w:r>
      <w:r w:rsidRPr="00E742EE">
        <w:rPr>
          <w:rFonts w:ascii="Arial" w:eastAsia="Times New Roman" w:hAnsi="Arial" w:cs="Arial"/>
          <w:b/>
          <w:vanish/>
          <w:sz w:val="24"/>
          <w:szCs w:val="24"/>
        </w:rPr>
        <w:pgNum/>
      </w:r>
      <w:r w:rsidRPr="00E742EE">
        <w:rPr>
          <w:rFonts w:ascii="Arial" w:eastAsia="Times New Roman" w:hAnsi="Arial" w:cs="Arial"/>
          <w:b/>
          <w:vanish/>
          <w:sz w:val="24"/>
          <w:szCs w:val="24"/>
        </w:rPr>
        <w:pgNum/>
      </w:r>
      <w:r w:rsidRPr="00E742EE">
        <w:rPr>
          <w:rFonts w:ascii="Arial" w:eastAsia="Times New Roman" w:hAnsi="Arial" w:cs="Arial"/>
          <w:b/>
          <w:sz w:val="24"/>
          <w:szCs w:val="24"/>
        </w:rPr>
        <w:t>.</w:t>
      </w:r>
    </w:p>
    <w:p w:rsidR="00E742EE" w:rsidRPr="00E742EE" w:rsidRDefault="00E742EE" w:rsidP="00E742EE">
      <w:pPr>
        <w:widowControl w:val="0"/>
        <w:autoSpaceDE w:val="0"/>
        <w:autoSpaceDN w:val="0"/>
        <w:adjustRightInd w:val="0"/>
        <w:spacing w:after="43" w:line="240" w:lineRule="auto"/>
        <w:ind w:firstLine="567"/>
        <w:jc w:val="both"/>
        <w:rPr>
          <w:rFonts w:ascii="Arial" w:eastAsia="Times New Roman" w:hAnsi="Arial" w:cs="Arial"/>
          <w:sz w:val="24"/>
          <w:szCs w:val="19"/>
          <w:lang w:eastAsia="hr-HR"/>
        </w:rPr>
      </w:pPr>
      <w:r w:rsidRPr="00E742EE">
        <w:rPr>
          <w:rFonts w:ascii="Arial" w:eastAsia="Times New Roman" w:hAnsi="Arial" w:cs="Arial"/>
          <w:sz w:val="24"/>
          <w:szCs w:val="24"/>
          <w:lang w:eastAsia="hr-HR"/>
        </w:rPr>
        <w:t xml:space="preserve">Za provedbu Srednjoročnog plana novčana </w:t>
      </w:r>
      <w:r w:rsidRPr="00E742EE">
        <w:rPr>
          <w:rFonts w:ascii="Arial" w:eastAsia="Times New Roman" w:hAnsi="Arial" w:cs="Arial"/>
          <w:sz w:val="24"/>
          <w:szCs w:val="19"/>
          <w:lang w:eastAsia="hr-HR"/>
        </w:rPr>
        <w:t>sredstva se osiguravaju u Proračunu Primorsko-goranske županije.</w:t>
      </w:r>
    </w:p>
    <w:p w:rsidR="00E742EE" w:rsidRPr="00E742EE" w:rsidRDefault="00E742EE" w:rsidP="00E742EE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E742EE" w:rsidRPr="00E742EE" w:rsidRDefault="00E742EE" w:rsidP="00E742EE">
      <w:pPr>
        <w:widowControl w:val="0"/>
        <w:tabs>
          <w:tab w:val="left" w:pos="360"/>
          <w:tab w:val="left" w:pos="215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742EE">
        <w:rPr>
          <w:rFonts w:ascii="Arial" w:eastAsia="Times New Roman" w:hAnsi="Arial" w:cs="Arial"/>
          <w:b/>
          <w:sz w:val="24"/>
          <w:szCs w:val="24"/>
          <w:lang w:eastAsia="hr-HR"/>
        </w:rPr>
        <w:t>Članak 5.</w:t>
      </w:r>
    </w:p>
    <w:p w:rsidR="00E742EE" w:rsidRPr="00E742EE" w:rsidRDefault="00E742EE" w:rsidP="00E7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9"/>
          <w:lang w:eastAsia="hr-HR"/>
        </w:rPr>
      </w:pPr>
      <w:r w:rsidRPr="00E742EE">
        <w:rPr>
          <w:rFonts w:ascii="Arial" w:eastAsia="Times New Roman" w:hAnsi="Arial" w:cs="Arial"/>
          <w:sz w:val="24"/>
          <w:szCs w:val="19"/>
          <w:lang w:eastAsia="hr-HR"/>
        </w:rPr>
        <w:tab/>
        <w:t>Za stručno-administrativne poslove provođenja Srednjoročnog plana zadužen je Upravni odjel za pomorsko dobro, promet i veze Primorsko-goranske županije.</w:t>
      </w:r>
    </w:p>
    <w:p w:rsidR="00E742EE" w:rsidRPr="00E742EE" w:rsidRDefault="00E742EE" w:rsidP="00E742EE">
      <w:pPr>
        <w:widowControl w:val="0"/>
        <w:tabs>
          <w:tab w:val="left" w:pos="360"/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hr-HR"/>
        </w:rPr>
      </w:pPr>
    </w:p>
    <w:p w:rsidR="00E742EE" w:rsidRPr="00E742EE" w:rsidRDefault="00E742EE" w:rsidP="00E742EE">
      <w:pPr>
        <w:widowControl w:val="0"/>
        <w:tabs>
          <w:tab w:val="left" w:pos="360"/>
          <w:tab w:val="left" w:pos="215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19"/>
          <w:lang w:eastAsia="hr-HR"/>
        </w:rPr>
      </w:pPr>
      <w:r w:rsidRPr="00E742EE">
        <w:rPr>
          <w:rFonts w:ascii="Arial" w:eastAsia="Times New Roman" w:hAnsi="Arial" w:cs="Arial"/>
          <w:b/>
          <w:sz w:val="24"/>
          <w:szCs w:val="19"/>
          <w:lang w:eastAsia="hr-HR"/>
        </w:rPr>
        <w:t>Članak 6.</w:t>
      </w:r>
    </w:p>
    <w:p w:rsidR="00E742EE" w:rsidRPr="00E742EE" w:rsidRDefault="00E742EE" w:rsidP="00E7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9"/>
          <w:lang w:eastAsia="hr-HR"/>
        </w:rPr>
      </w:pPr>
      <w:r w:rsidRPr="00E742EE">
        <w:rPr>
          <w:rFonts w:ascii="Arial" w:eastAsia="Times New Roman" w:hAnsi="Arial" w:cs="Arial"/>
          <w:sz w:val="24"/>
          <w:szCs w:val="19"/>
          <w:lang w:eastAsia="hr-HR"/>
        </w:rPr>
        <w:tab/>
        <w:t>Ovaj Srednjoročni plan stupa na snagu prvog dana od dana objave u „Službenim novinama Primorsko-goranske županije “.</w:t>
      </w:r>
    </w:p>
    <w:p w:rsidR="00E742EE" w:rsidRPr="00E742EE" w:rsidRDefault="00E742EE" w:rsidP="00E7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9"/>
          <w:lang w:eastAsia="hr-HR"/>
        </w:rPr>
      </w:pPr>
    </w:p>
    <w:p w:rsidR="00E742EE" w:rsidRPr="00E742EE" w:rsidRDefault="00E742EE" w:rsidP="00E742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-NewRoman" w:eastAsia="Times New Roman" w:hAnsi="Times-NewRoman" w:cs="Times New Roman"/>
          <w:sz w:val="19"/>
          <w:szCs w:val="19"/>
          <w:lang w:eastAsia="hr-HR"/>
        </w:rPr>
      </w:pPr>
    </w:p>
    <w:p w:rsidR="00E742EE" w:rsidRPr="00E742EE" w:rsidRDefault="00E742EE" w:rsidP="00E742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742EE" w:rsidRDefault="00E742EE" w:rsidP="00E742EE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SimSun" w:hAnsi="Arial" w:cs="Arial"/>
          <w:sz w:val="24"/>
          <w:szCs w:val="24"/>
          <w:lang w:eastAsia="zh-CN"/>
        </w:rPr>
        <w:t>Na temelju članka 78. Zakona o koncesijama („Narodne novine“ broj 69/17), članka 52. točke 25. Statuta Primorsko-goranske županije („Službene novine Primorsko-goranske županije“ broj 23/9, 9/13 i 25/13 - pročišćeni tekst, 5/18 i 8/18 – pročišćeni tekst)</w:t>
      </w:r>
      <w:r w:rsidRPr="00E742EE">
        <w:rPr>
          <w:rFonts w:ascii="Arial" w:eastAsia="Times New Roman" w:hAnsi="Arial" w:cs="Arial"/>
          <w:sz w:val="24"/>
          <w:szCs w:val="24"/>
        </w:rPr>
        <w:t xml:space="preserve"> i članka 84. Poslovnika Županijske skupštine Primorsko-goranske županije („Službene novine</w:t>
      </w:r>
      <w:r w:rsidRPr="00E742EE">
        <w:rPr>
          <w:rFonts w:ascii="Arial" w:eastAsia="SimSun" w:hAnsi="Arial" w:cs="Arial"/>
          <w:sz w:val="24"/>
          <w:szCs w:val="24"/>
          <w:lang w:eastAsia="zh-CN"/>
        </w:rPr>
        <w:t xml:space="preserve"> Primorsko-goranske županije</w:t>
      </w:r>
      <w:r w:rsidRPr="00E742EE">
        <w:rPr>
          <w:rFonts w:ascii="Arial" w:eastAsia="Times New Roman" w:hAnsi="Arial" w:cs="Arial"/>
          <w:sz w:val="24"/>
          <w:szCs w:val="24"/>
        </w:rPr>
        <w:t xml:space="preserve">“ broj 26/9, 16/3 i 25/13 – pročišćeni tekst), Županijska skupština Primorsko-goranske županije na __. sjednici održanoj dana ___________ 2019. godine donijela je </w:t>
      </w:r>
    </w:p>
    <w:p w:rsidR="00E742EE" w:rsidRPr="00E742EE" w:rsidRDefault="00E742EE" w:rsidP="00E742EE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</w:rPr>
      </w:pPr>
    </w:p>
    <w:p w:rsidR="00E742EE" w:rsidRPr="00E742EE" w:rsidRDefault="00E742EE" w:rsidP="00E742EE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</w:rPr>
      </w:pPr>
    </w:p>
    <w:p w:rsidR="00E742EE" w:rsidRPr="00E742EE" w:rsidRDefault="00E742EE" w:rsidP="00E742EE">
      <w:pPr>
        <w:spacing w:after="0" w:line="240" w:lineRule="auto"/>
        <w:ind w:firstLine="1134"/>
        <w:rPr>
          <w:rFonts w:ascii="Arial" w:eastAsia="Times New Roman" w:hAnsi="Arial" w:cs="Arial"/>
          <w:b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  <w:r w:rsidRPr="00E742EE">
        <w:rPr>
          <w:rFonts w:ascii="Arial" w:eastAsia="Times New Roman" w:hAnsi="Arial" w:cs="Arial"/>
          <w:b/>
          <w:sz w:val="24"/>
          <w:szCs w:val="24"/>
        </w:rPr>
        <w:t>PLAN</w:t>
      </w:r>
    </w:p>
    <w:p w:rsidR="00E742EE" w:rsidRPr="00E742EE" w:rsidRDefault="00E742EE" w:rsidP="00E742EE">
      <w:pPr>
        <w:spacing w:after="0" w:line="240" w:lineRule="auto"/>
        <w:ind w:left="993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 xml:space="preserve">davanja koncesija na pomorskom dobru na </w:t>
      </w:r>
    </w:p>
    <w:p w:rsidR="00E742EE" w:rsidRPr="00E742EE" w:rsidRDefault="00E742EE" w:rsidP="00E742EE">
      <w:pPr>
        <w:spacing w:after="0" w:line="240" w:lineRule="auto"/>
        <w:ind w:left="993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>području Primorsko-goranske županije za 2020. godinu</w:t>
      </w:r>
    </w:p>
    <w:p w:rsidR="00E742EE" w:rsidRPr="00E742EE" w:rsidRDefault="00E742EE" w:rsidP="00E742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42EE" w:rsidRPr="00E742EE" w:rsidRDefault="00E742EE" w:rsidP="00E742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42EE" w:rsidRPr="00E742EE" w:rsidRDefault="00E742EE" w:rsidP="00E74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42EE">
        <w:rPr>
          <w:rFonts w:ascii="Arial" w:eastAsia="Times New Roman" w:hAnsi="Arial" w:cs="Arial"/>
          <w:b/>
          <w:sz w:val="24"/>
          <w:szCs w:val="24"/>
        </w:rPr>
        <w:t>Članak 1.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>Plan davanja koncesija na pomorskom dobru na području Primorsko-goranske županije za 2020. godinu (dalje u tekstu: Plan) sadrži: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>a) planirani broj koncesija,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>b) predviđene vrste i predmete koncesija,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>c) rokove na koje se koncesije planiranju dati,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>d) pravnu osnovu za davanje koncesije,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>e) procijenjenu godišnju naknadu za pojedinu koncesiju,</w:t>
      </w:r>
    </w:p>
    <w:p w:rsidR="00E742EE" w:rsidRPr="00E742EE" w:rsidRDefault="00E742EE" w:rsidP="00E742EE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 xml:space="preserve">f) </w:t>
      </w:r>
      <w:r w:rsidRPr="00E742EE">
        <w:rPr>
          <w:rFonts w:ascii="Arial" w:eastAsia="Times New Roman" w:hAnsi="Arial" w:cs="Arial"/>
          <w:sz w:val="24"/>
          <w:szCs w:val="24"/>
          <w:lang w:eastAsia="zh-CN"/>
        </w:rPr>
        <w:t>popis ugovora o koncesiji koji istječu u godini na koju se plan odnosi s napomenom za koje se koncesije planira provedba novog postupka davanja koncesije, te obrazloženjem razloga za eventualno neplaniranje davanja nove koncesije.</w:t>
      </w:r>
    </w:p>
    <w:p w:rsidR="00E742EE" w:rsidRPr="00E742EE" w:rsidRDefault="00E742EE" w:rsidP="00E742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742EE" w:rsidRPr="00E742EE" w:rsidRDefault="00E742EE" w:rsidP="00E74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42EE">
        <w:rPr>
          <w:rFonts w:ascii="Arial" w:eastAsia="Times New Roman" w:hAnsi="Arial" w:cs="Arial"/>
          <w:b/>
          <w:sz w:val="24"/>
          <w:szCs w:val="24"/>
        </w:rPr>
        <w:t>Članak 2.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>Primorsko-goranska županija planira u 2020. godini dati koncesije na pomorskom dobru kako slijedi: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295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097"/>
        <w:gridCol w:w="1882"/>
        <w:gridCol w:w="1645"/>
        <w:gridCol w:w="1292"/>
        <w:gridCol w:w="1416"/>
      </w:tblGrid>
      <w:tr w:rsidR="00E742EE" w:rsidRPr="00E742EE" w:rsidTr="00623520">
        <w:trPr>
          <w:trHeight w:val="592"/>
        </w:trPr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3366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209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koncesije</w:t>
            </w:r>
          </w:p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Koncesija na pomorskom dobru</w:t>
            </w:r>
          </w:p>
        </w:tc>
        <w:tc>
          <w:tcPr>
            <w:tcW w:w="18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Zakonska osnova za davanje koncesije 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Gospodarski razvojni planovi sektora</w:t>
            </w:r>
          </w:p>
        </w:tc>
        <w:tc>
          <w:tcPr>
            <w:tcW w:w="12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Vrijeme davanja koncesije i trajanje</w:t>
            </w: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Procjena godišnje naknade za koncesiju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097" w:type="dxa"/>
            <w:tcBorders>
              <w:top w:val="double" w:sz="4" w:space="0" w:color="auto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ugostiteljskog objekta i terase na Gradskom kupalištu (ex Kataka) u Gradu Crikvenica</w:t>
            </w:r>
          </w:p>
        </w:tc>
        <w:tc>
          <w:tcPr>
            <w:tcW w:w="1882" w:type="dxa"/>
            <w:tcBorders>
              <w:top w:val="double" w:sz="4" w:space="0" w:color="auto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double" w:sz="4" w:space="0" w:color="auto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single" w:sz="4" w:space="0" w:color="003366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003366"/>
              <w:left w:val="doub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09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luke posebne namjene brodogradilišta Lučica u Banjolu, Grad Rab</w:t>
            </w:r>
          </w:p>
        </w:tc>
        <w:tc>
          <w:tcPr>
            <w:tcW w:w="188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003366"/>
              <w:left w:val="nil"/>
              <w:bottom w:val="single" w:sz="4" w:space="0" w:color="003366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003366"/>
              <w:left w:val="doub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09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privezišta Poljana, Grad Mali Lošinj</w:t>
            </w:r>
          </w:p>
        </w:tc>
        <w:tc>
          <w:tcPr>
            <w:tcW w:w="188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003366"/>
              <w:left w:val="nil"/>
              <w:bottom w:val="single" w:sz="4" w:space="0" w:color="003366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003366"/>
              <w:left w:val="doub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09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gospodarsko korištenje luke posebne namjene YC Marina, Grad Mali Lošinj  </w:t>
            </w:r>
          </w:p>
        </w:tc>
        <w:tc>
          <w:tcPr>
            <w:tcW w:w="188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003366"/>
              <w:left w:val="nil"/>
              <w:bottom w:val="single" w:sz="4" w:space="0" w:color="003366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003366"/>
              <w:left w:val="doub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09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luke posebne namjene brodogradilišta Stjepan Horvat, Grad Bakar</w:t>
            </w:r>
          </w:p>
        </w:tc>
        <w:tc>
          <w:tcPr>
            <w:tcW w:w="188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003366"/>
              <w:left w:val="nil"/>
              <w:bottom w:val="single" w:sz="4" w:space="0" w:color="003366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003366"/>
              <w:left w:val="doub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6.</w:t>
            </w:r>
          </w:p>
        </w:tc>
        <w:tc>
          <w:tcPr>
            <w:tcW w:w="209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luke posebne namjene brodogradilišta Petra Španjola, Grad Rab</w:t>
            </w:r>
          </w:p>
        </w:tc>
        <w:tc>
          <w:tcPr>
            <w:tcW w:w="188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003366"/>
              <w:left w:val="nil"/>
              <w:bottom w:val="single" w:sz="4" w:space="0" w:color="003366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003366"/>
              <w:left w:val="doub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209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luke posebne namjene brodogradilišta Pičuljan d.o.o., Grad Rab</w:t>
            </w:r>
          </w:p>
        </w:tc>
        <w:tc>
          <w:tcPr>
            <w:tcW w:w="188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003366"/>
              <w:left w:val="nil"/>
              <w:bottom w:val="single" w:sz="4" w:space="0" w:color="003366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003366"/>
              <w:left w:val="doub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09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luke posebne namjene brodogradilišta Zdravko Pičuljana, Grad Rab</w:t>
            </w:r>
          </w:p>
        </w:tc>
        <w:tc>
          <w:tcPr>
            <w:tcW w:w="188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003366"/>
              <w:left w:val="nil"/>
              <w:bottom w:val="single" w:sz="4" w:space="0" w:color="003366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003366"/>
              <w:left w:val="doub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09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privezišta Tovar, Grad Mali Lošinj</w:t>
            </w:r>
          </w:p>
        </w:tc>
        <w:tc>
          <w:tcPr>
            <w:tcW w:w="188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003366"/>
              <w:left w:val="nil"/>
              <w:bottom w:val="single" w:sz="4" w:space="0" w:color="003366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003366"/>
              <w:left w:val="doub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09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luke posebne namjene sportske luke Mrtvi kanal, Grad Rijeka</w:t>
            </w:r>
          </w:p>
        </w:tc>
        <w:tc>
          <w:tcPr>
            <w:tcW w:w="188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003366"/>
              <w:left w:val="nil"/>
              <w:bottom w:val="single" w:sz="4" w:space="0" w:color="003366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luke posebne namjene sidrišta Bok, otok Susak, Grad Mali Lošinj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luke posebne namjene sidrišta Krivica, Grad Mali Lošinj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luke posebne namjene sidrišta Kolorat i Majiška, Grad Mali Lošinj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Zakon o pomorskom dobru i morskim lukama (čl. 18.) i Zakon o koncesijama(čl. 7.)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gospodarsko korištenje plaže ispred Hotela Punta u Velom Lošinju, Grad Mali Lošinj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plaže ispred kampa Ježevac, Grad Krk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plaže Padova I, Grad Rab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plaže Balustrada, Grad Crikvenica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plaže ispred hotelskog resorta Zagori, Grad Novi Vinodolski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 kn</w:t>
            </w:r>
          </w:p>
        </w:tc>
      </w:tr>
      <w:tr w:rsidR="00E742EE" w:rsidRPr="00E742EE" w:rsidTr="00623520">
        <w:trPr>
          <w:trHeight w:val="809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vrha plaže Omorika, Grad Crikvenica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 kn</w:t>
            </w:r>
          </w:p>
        </w:tc>
      </w:tr>
      <w:tr w:rsidR="00E742EE" w:rsidRPr="00E742EE" w:rsidTr="00623520">
        <w:trPr>
          <w:trHeight w:val="567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plaže Ičići, Grad Opatiji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 kn</w:t>
            </w:r>
          </w:p>
        </w:tc>
      </w:tr>
      <w:tr w:rsidR="00E742EE" w:rsidRPr="00E742EE" w:rsidTr="00623520">
        <w:trPr>
          <w:trHeight w:val="567"/>
        </w:trPr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gospodarsko korištenje plaže Medveja, Općina Lovran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pomorskom dobru i morskim lukama (čl. 18.) i Zakon o koncesijama (čl. 7.)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Razvojna strategija i Prostorni plan Primorsko-goranske županije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E742EE" w:rsidRPr="00E742EE" w:rsidRDefault="00E742EE" w:rsidP="00E7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5 do 20 godina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742EE" w:rsidRPr="00E742EE" w:rsidRDefault="00E742EE" w:rsidP="00E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42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 kn</w:t>
            </w:r>
          </w:p>
        </w:tc>
      </w:tr>
    </w:tbl>
    <w:p w:rsidR="00E742EE" w:rsidRPr="00E742EE" w:rsidRDefault="00E742EE" w:rsidP="00E74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742EE" w:rsidRPr="00E742EE" w:rsidRDefault="00E742EE" w:rsidP="00E74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742EE" w:rsidRPr="00E742EE" w:rsidRDefault="00E742EE" w:rsidP="00E74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742EE" w:rsidRDefault="00E742EE" w:rsidP="00E74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742EE" w:rsidRPr="00E742EE" w:rsidRDefault="00E742EE" w:rsidP="00E74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42EE">
        <w:rPr>
          <w:rFonts w:ascii="Arial" w:eastAsia="Times New Roman" w:hAnsi="Arial" w:cs="Arial"/>
          <w:b/>
          <w:sz w:val="24"/>
          <w:szCs w:val="24"/>
        </w:rPr>
        <w:t>Članak 3.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>Tijekom 2020. godine planiraju se dati koncesije koji ističu u 2020. godini, koncesije temeljem inicijativa fizičkih/pravnih osoba, te koncesije za posebnu upotrebu pomorskog dobra za instalacije odvodnje i druge objekte komunalne infrastrukture.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>Tijekom 2020. godine planiraju se provesti i postupci davanja koncesija na pomorskom dobru za lokacije sadržane u planovima iz prethodnih godina za koje postupak nije proveden ili je u tijeku.</w:t>
      </w:r>
    </w:p>
    <w:p w:rsidR="00E742EE" w:rsidRPr="00E742EE" w:rsidRDefault="00303E7E" w:rsidP="00E742EE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P</w:t>
      </w:r>
      <w:r w:rsidR="00E742EE" w:rsidRPr="00E742EE">
        <w:rPr>
          <w:rFonts w:ascii="Arial" w:eastAsia="SimSun" w:hAnsi="Arial" w:cs="Arial"/>
          <w:sz w:val="24"/>
          <w:szCs w:val="24"/>
          <w:lang w:eastAsia="zh-CN"/>
        </w:rPr>
        <w:t>ostupci davanja koncesije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provest će se</w:t>
      </w:r>
      <w:bookmarkStart w:id="0" w:name="_GoBack"/>
      <w:bookmarkEnd w:id="0"/>
      <w:r w:rsidR="00E742EE" w:rsidRPr="00E742EE">
        <w:rPr>
          <w:rFonts w:ascii="Arial" w:eastAsia="SimSun" w:hAnsi="Arial" w:cs="Arial"/>
          <w:sz w:val="24"/>
          <w:szCs w:val="24"/>
          <w:lang w:eastAsia="zh-CN"/>
        </w:rPr>
        <w:t xml:space="preserve"> ukoliko budu ispunjeni uvjeti propisani u odredbama Zakona o koncesijama i Zakona o pomorskom dobru i morskim lukama uz uvjet upisa pomorskoga dobra u Zemljišnoj knjizi, te razriješenim imovinsko pravnim odnosima na području koje se daje u koncesiju.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42EE" w:rsidRPr="00E742EE" w:rsidRDefault="00E742EE" w:rsidP="00E74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42EE">
        <w:rPr>
          <w:rFonts w:ascii="Arial" w:eastAsia="Times New Roman" w:hAnsi="Arial" w:cs="Arial"/>
          <w:b/>
          <w:sz w:val="24"/>
          <w:szCs w:val="24"/>
        </w:rPr>
        <w:t>Članak 4.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>Za provedbu Plana novčana sredstva osiguravanju se u Proračunu Primorsko-goranske županije za 2020. godinu.</w:t>
      </w:r>
    </w:p>
    <w:p w:rsidR="00E742EE" w:rsidRPr="00E742EE" w:rsidRDefault="00E742EE" w:rsidP="00E74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742EE" w:rsidRPr="00E742EE" w:rsidRDefault="00E742EE" w:rsidP="00E74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42EE">
        <w:rPr>
          <w:rFonts w:ascii="Arial" w:eastAsia="Times New Roman" w:hAnsi="Arial" w:cs="Arial"/>
          <w:b/>
          <w:sz w:val="24"/>
          <w:szCs w:val="24"/>
        </w:rPr>
        <w:t>Članak 5.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>Za stručno-administrativne poslove provođenja Plana zadužen je Upravni odjel za pomorsko dobro, promet i veze Primorsko-goranske županije.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42EE" w:rsidRPr="00E742EE" w:rsidRDefault="00E742EE" w:rsidP="00E74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42EE">
        <w:rPr>
          <w:rFonts w:ascii="Arial" w:eastAsia="Times New Roman" w:hAnsi="Arial" w:cs="Arial"/>
          <w:b/>
          <w:sz w:val="24"/>
          <w:szCs w:val="24"/>
        </w:rPr>
        <w:t>Članak 6.</w:t>
      </w:r>
    </w:p>
    <w:p w:rsidR="00E742EE" w:rsidRPr="00E742EE" w:rsidRDefault="00E742EE" w:rsidP="00E7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2EE">
        <w:rPr>
          <w:rFonts w:ascii="Arial" w:eastAsia="Times New Roman" w:hAnsi="Arial" w:cs="Arial"/>
          <w:sz w:val="24"/>
          <w:szCs w:val="24"/>
        </w:rPr>
        <w:t>Ovaj Plan stupa na snagu osmog dana od dana objave u „Službenim novinama Primorsko-goranske županije“.</w:t>
      </w:r>
    </w:p>
    <w:p w:rsidR="00E742EE" w:rsidRPr="00E742EE" w:rsidRDefault="00E742EE" w:rsidP="00E742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-NewRoman" w:eastAsia="Times New Roman" w:hAnsi="Times-NewRoman" w:cs="Times New Roman"/>
          <w:sz w:val="19"/>
          <w:szCs w:val="19"/>
          <w:lang w:eastAsia="hr-HR"/>
        </w:rPr>
      </w:pPr>
    </w:p>
    <w:p w:rsidR="00E742EE" w:rsidRPr="00E742EE" w:rsidRDefault="00E742EE" w:rsidP="00E742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-NewRoman" w:eastAsia="Times New Roman" w:hAnsi="Times-NewRoman" w:cs="Times New Roman"/>
          <w:sz w:val="19"/>
          <w:szCs w:val="19"/>
          <w:lang w:eastAsia="hr-HR"/>
        </w:rPr>
      </w:pPr>
    </w:p>
    <w:p w:rsidR="00DD599C" w:rsidRDefault="00DD599C"/>
    <w:sectPr w:rsidR="00DD599C" w:rsidSect="00E742EE">
      <w:headerReference w:type="even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3E7E">
      <w:pPr>
        <w:spacing w:after="0" w:line="240" w:lineRule="auto"/>
      </w:pPr>
      <w:r>
        <w:separator/>
      </w:r>
    </w:p>
  </w:endnote>
  <w:endnote w:type="continuationSeparator" w:id="0">
    <w:p w:rsidR="00000000" w:rsidRDefault="0030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18" w:rsidRDefault="00E742EE" w:rsidP="00627B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618" w:rsidRDefault="00303E7E">
    <w:pPr>
      <w:pStyle w:val="Footer"/>
    </w:pPr>
  </w:p>
  <w:p w:rsidR="007B1618" w:rsidRDefault="00303E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18" w:rsidRPr="00981C84" w:rsidRDefault="00E742EE" w:rsidP="00627B62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981C84">
      <w:rPr>
        <w:rStyle w:val="PageNumber"/>
        <w:rFonts w:ascii="Arial" w:hAnsi="Arial" w:cs="Arial"/>
      </w:rPr>
      <w:fldChar w:fldCharType="begin"/>
    </w:r>
    <w:r w:rsidRPr="00981C84">
      <w:rPr>
        <w:rStyle w:val="PageNumber"/>
        <w:rFonts w:ascii="Arial" w:hAnsi="Arial" w:cs="Arial"/>
      </w:rPr>
      <w:instrText xml:space="preserve">PAGE  </w:instrText>
    </w:r>
    <w:r w:rsidRPr="00981C84">
      <w:rPr>
        <w:rStyle w:val="PageNumber"/>
        <w:rFonts w:ascii="Arial" w:hAnsi="Arial" w:cs="Arial"/>
      </w:rPr>
      <w:fldChar w:fldCharType="separate"/>
    </w:r>
    <w:r w:rsidR="00303E7E">
      <w:rPr>
        <w:rStyle w:val="PageNumber"/>
        <w:rFonts w:ascii="Arial" w:hAnsi="Arial" w:cs="Arial"/>
        <w:noProof/>
      </w:rPr>
      <w:t>7</w:t>
    </w:r>
    <w:r w:rsidRPr="00981C84">
      <w:rPr>
        <w:rStyle w:val="PageNumber"/>
        <w:rFonts w:ascii="Arial" w:hAnsi="Arial" w:cs="Arial"/>
      </w:rPr>
      <w:fldChar w:fldCharType="end"/>
    </w:r>
  </w:p>
  <w:p w:rsidR="007B1618" w:rsidRDefault="00303E7E">
    <w:pPr>
      <w:pStyle w:val="Footer"/>
    </w:pPr>
  </w:p>
  <w:p w:rsidR="007B1618" w:rsidRDefault="00303E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3E7E">
      <w:pPr>
        <w:spacing w:after="0" w:line="240" w:lineRule="auto"/>
      </w:pPr>
      <w:r>
        <w:separator/>
      </w:r>
    </w:p>
  </w:footnote>
  <w:footnote w:type="continuationSeparator" w:id="0">
    <w:p w:rsidR="00000000" w:rsidRDefault="0030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18" w:rsidRDefault="00E742EE" w:rsidP="007E35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618" w:rsidRDefault="00303E7E">
    <w:pPr>
      <w:pStyle w:val="Header"/>
    </w:pPr>
  </w:p>
  <w:p w:rsidR="007B1618" w:rsidRDefault="00303E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60D7"/>
    <w:multiLevelType w:val="hybridMultilevel"/>
    <w:tmpl w:val="5C5218F0"/>
    <w:lvl w:ilvl="0" w:tplc="1F8A5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EE"/>
    <w:rsid w:val="00187D10"/>
    <w:rsid w:val="00303E7E"/>
    <w:rsid w:val="00DD599C"/>
    <w:rsid w:val="00E7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5D01"/>
  <w15:docId w15:val="{E82545E2-648E-4F78-A3FE-B28FF6F5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2EE"/>
  </w:style>
  <w:style w:type="paragraph" w:styleId="Footer">
    <w:name w:val="footer"/>
    <w:basedOn w:val="Normal"/>
    <w:link w:val="FooterChar"/>
    <w:uiPriority w:val="99"/>
    <w:semiHidden/>
    <w:unhideWhenUsed/>
    <w:rsid w:val="00E7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2EE"/>
  </w:style>
  <w:style w:type="character" w:styleId="PageNumber">
    <w:name w:val="page number"/>
    <w:basedOn w:val="DefaultParagraphFont"/>
    <w:rsid w:val="00E7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3126</Words>
  <Characters>17820</Characters>
  <Application>Microsoft Office Word</Application>
  <DocSecurity>0</DocSecurity>
  <Lines>148</Lines>
  <Paragraphs>41</Paragraphs>
  <ScaleCrop>false</ScaleCrop>
  <Company/>
  <LinksUpToDate>false</LinksUpToDate>
  <CharactersWithSpaces>20905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 Marunić</dc:creator>
  <cp:lastModifiedBy>Danijela Popović</cp:lastModifiedBy>
  <cp:revision>3</cp:revision>
  <dcterms:created xsi:type="dcterms:W3CDTF">2019-09-12T06:43:00Z</dcterms:created>
  <dcterms:modified xsi:type="dcterms:W3CDTF">2019-09-12T07:36:00Z</dcterms:modified>
</cp:coreProperties>
</file>