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79" w:rsidRDefault="009F7D9A">
      <w:pPr>
        <w:pStyle w:val="Header"/>
        <w:tabs>
          <w:tab w:val="clear" w:pos="4536"/>
          <w:tab w:val="clear" w:pos="9072"/>
        </w:tabs>
        <w:ind w:firstLine="708"/>
        <w:jc w:val="both"/>
      </w:pPr>
      <w:r>
        <w:rPr>
          <w:rFonts w:ascii="Arial" w:hAnsi="Arial" w:cs="Arial"/>
          <w:bCs/>
          <w:sz w:val="24"/>
          <w:szCs w:val="24"/>
        </w:rPr>
        <w:t>Na t</w:t>
      </w:r>
      <w:r>
        <w:rPr>
          <w:rFonts w:ascii="Arial" w:hAnsi="Arial" w:cs="Arial"/>
          <w:sz w:val="24"/>
          <w:szCs w:val="24"/>
        </w:rPr>
        <w:t xml:space="preserve">emelju članka 28. Statuta Primorsko-goranske županije ("Službene novine" broj 25/13, 9/13 i 25/13 – pročišćeni tekst) i </w:t>
      </w:r>
      <w:r>
        <w:rPr>
          <w:rFonts w:ascii="Arial" w:hAnsi="Arial" w:cs="Arial"/>
          <w:sz w:val="24"/>
          <w:szCs w:val="24"/>
          <w:shd w:val="clear" w:color="auto" w:fill="FFFFFF"/>
        </w:rPr>
        <w:t xml:space="preserve">članka 84. Poslovnika Županijske skupštine </w:t>
      </w:r>
      <w:r>
        <w:rPr>
          <w:rFonts w:ascii="Arial" w:hAnsi="Arial" w:cs="Arial"/>
          <w:sz w:val="24"/>
          <w:szCs w:val="24"/>
          <w:shd w:val="clear" w:color="auto" w:fill="FFFFFF"/>
        </w:rPr>
        <w:t>Primorsko-goranske županije („Službene novine“ broj 26/9, 16/13, 25/13-pročišćeni tekst), a vezano uz Nacionalnu strategiju za uključivanje Roma, za razdoblje od 2013. – 2020. godine,</w:t>
      </w:r>
      <w:r>
        <w:rPr>
          <w:rFonts w:ascii="Arial" w:hAnsi="Arial" w:cs="Arial"/>
          <w:sz w:val="24"/>
          <w:szCs w:val="24"/>
        </w:rPr>
        <w:t xml:space="preserve"> Županijska skupština Primorsko-goranske županije na sjednici održanoj da</w:t>
      </w:r>
      <w:r>
        <w:rPr>
          <w:rFonts w:ascii="Arial" w:hAnsi="Arial" w:cs="Arial"/>
          <w:sz w:val="24"/>
          <w:szCs w:val="24"/>
        </w:rPr>
        <w:t>na _________ 2018. godine donosi</w:t>
      </w:r>
    </w:p>
    <w:p w:rsidR="008E6E79" w:rsidRDefault="008E6E79">
      <w:pPr>
        <w:pStyle w:val="Header"/>
        <w:rPr>
          <w:b/>
          <w:sz w:val="22"/>
          <w:szCs w:val="22"/>
        </w:rPr>
      </w:pPr>
    </w:p>
    <w:p w:rsidR="008E6E79" w:rsidRDefault="008E6E79">
      <w:pPr>
        <w:pStyle w:val="Header"/>
        <w:rPr>
          <w:b/>
          <w:sz w:val="22"/>
          <w:szCs w:val="22"/>
        </w:rPr>
      </w:pPr>
    </w:p>
    <w:p w:rsidR="008E6E79" w:rsidRDefault="009F7D9A">
      <w:pPr>
        <w:tabs>
          <w:tab w:val="left" w:pos="3825"/>
        </w:tabs>
        <w:jc w:val="center"/>
        <w:rPr>
          <w:b/>
          <w:sz w:val="28"/>
          <w:szCs w:val="28"/>
        </w:rPr>
      </w:pPr>
      <w:r>
        <w:rPr>
          <w:b/>
          <w:sz w:val="28"/>
          <w:szCs w:val="28"/>
        </w:rPr>
        <w:t xml:space="preserve">AKCIJSKI PLAN ZA UKLJUČIVANJE ROMA </w:t>
      </w:r>
    </w:p>
    <w:p w:rsidR="008E6E79" w:rsidRDefault="009F7D9A">
      <w:pPr>
        <w:tabs>
          <w:tab w:val="left" w:pos="3825"/>
        </w:tabs>
        <w:jc w:val="center"/>
        <w:rPr>
          <w:b/>
          <w:sz w:val="28"/>
          <w:szCs w:val="28"/>
        </w:rPr>
      </w:pPr>
      <w:r>
        <w:rPr>
          <w:b/>
          <w:sz w:val="28"/>
          <w:szCs w:val="28"/>
        </w:rPr>
        <w:t>U PRIMORSKO GORANSKOJ ŽUPANIJI</w:t>
      </w:r>
    </w:p>
    <w:p w:rsidR="008E6E79" w:rsidRDefault="009F7D9A">
      <w:pPr>
        <w:tabs>
          <w:tab w:val="left" w:pos="3825"/>
        </w:tabs>
        <w:jc w:val="center"/>
        <w:rPr>
          <w:b/>
          <w:sz w:val="28"/>
          <w:szCs w:val="28"/>
        </w:rPr>
      </w:pPr>
      <w:r>
        <w:rPr>
          <w:b/>
          <w:sz w:val="28"/>
          <w:szCs w:val="28"/>
        </w:rPr>
        <w:t>2018. – 2019.</w:t>
      </w:r>
    </w:p>
    <w:p w:rsidR="008E6E79" w:rsidRDefault="008E6E79">
      <w:pPr>
        <w:tabs>
          <w:tab w:val="left" w:pos="3825"/>
        </w:tabs>
        <w:rPr>
          <w:sz w:val="28"/>
          <w:szCs w:val="28"/>
        </w:rPr>
      </w:pPr>
    </w:p>
    <w:p w:rsidR="008E6E79" w:rsidRDefault="009F7D9A">
      <w:pPr>
        <w:tabs>
          <w:tab w:val="left" w:pos="3825"/>
        </w:tabs>
        <w:rPr>
          <w:b/>
          <w:szCs w:val="24"/>
        </w:rPr>
      </w:pPr>
      <w:r>
        <w:rPr>
          <w:b/>
          <w:szCs w:val="24"/>
        </w:rPr>
        <w:t>1. UVOD</w:t>
      </w:r>
    </w:p>
    <w:p w:rsidR="008E6E79" w:rsidRDefault="009F7D9A">
      <w:pPr>
        <w:tabs>
          <w:tab w:val="left" w:pos="3825"/>
        </w:tabs>
      </w:pPr>
      <w:r>
        <w:t>Prema Popisu stanovništva iz 2011. godine na području Primorsko-goranske županije nalazilo se 1.072 osoba romske nacionalne manjine</w:t>
      </w:r>
      <w:r>
        <w:t>.</w:t>
      </w:r>
      <w:r>
        <w:rPr>
          <w:rStyle w:val="FootnoteReference"/>
        </w:rPr>
        <w:footnoteReference w:id="1"/>
      </w:r>
      <w:r>
        <w:t xml:space="preserve"> S obzirom da se radi o broju osoba koje su se same izjasnile o pripadnosti romskoj nacionalnoj </w:t>
      </w:r>
      <w:r>
        <w:t xml:space="preserve">manjini, a da karakteristike same populacije kao i visoko </w:t>
      </w:r>
      <w:proofErr w:type="spellStart"/>
      <w:r>
        <w:t>prevalentna</w:t>
      </w:r>
      <w:proofErr w:type="spellEnd"/>
      <w:r>
        <w:t xml:space="preserve"> stigma protiv pripadnika romske nacionalne manjine onemogućavaju dobivanje potpunih statističkih podataka, valja se ravnati procjenama o aktualnom broju stanovnika romske nacionalne manj</w:t>
      </w:r>
      <w:r>
        <w:t>ine, koji prema nekim izvorima dostiže i više od 4.000 stanovnika.</w:t>
      </w:r>
    </w:p>
    <w:p w:rsidR="008E6E79" w:rsidRDefault="009F7D9A">
      <w:pPr>
        <w:tabs>
          <w:tab w:val="left" w:pos="3825"/>
        </w:tabs>
      </w:pPr>
      <w:r>
        <w:t>Vijeće romske nacionalne manjine Primorsko-goranske županije izabrano je 31. svibnja 2015. godine. Primorsko-goranska županija financira rad i administrativne poslove Vijeća,  za što su osi</w:t>
      </w:r>
      <w:r>
        <w:t>gurana sredstva na razini proračuna Županije. Za programe i manifestacije romskih udruga redovito se dodjeljuju sredstva sukladno Programu javnih potreba u kulturi i Programu financiranja programskih aktivnosti udruga od interesa za Županiju te iz sredstav</w:t>
      </w:r>
      <w:r>
        <w:t xml:space="preserve">a proračunske zalihe, temeljem zahtjeva romskih udruga.  </w:t>
      </w:r>
    </w:p>
    <w:p w:rsidR="008E6E79" w:rsidRDefault="009F7D9A">
      <w:pPr>
        <w:tabs>
          <w:tab w:val="left" w:pos="3825"/>
        </w:tabs>
      </w:pPr>
      <w:r>
        <w:t xml:space="preserve">Akcijski plan za uključivanje Roma u Primorsko-goranskoj županiji 2018. – 2019 (dalje u tekstu: Akcijski plan) proizlazi iz Nacionalne strategije za uključivanje Roma za razdoblje od 2013. do 2020. </w:t>
      </w:r>
      <w:r>
        <w:t xml:space="preserve">godine u kojoj je naveden i nacionalni pravni okvir vezan uz socijalno uključivanje Roma koji se proteže i na jedinice lokalne samouprave i usklađen je s Razvojnom strategijom Primorsko-goranske županije 2016-2020, strateškim ciljem 2. Jačanje regionalnih </w:t>
      </w:r>
      <w:r>
        <w:t xml:space="preserve">kapaciteta i ravnomjerni razvoj, prioritet 2.3. Jačanje kapaciteta i učinkovite suradnje s civilnim društvom. </w:t>
      </w:r>
    </w:p>
    <w:p w:rsidR="008E6E79" w:rsidRDefault="009F7D9A">
      <w:pPr>
        <w:tabs>
          <w:tab w:val="left" w:pos="3825"/>
        </w:tabs>
      </w:pPr>
      <w:r>
        <w:t xml:space="preserve">Akcijski plan jest </w:t>
      </w:r>
      <w:proofErr w:type="spellStart"/>
      <w:r>
        <w:t>međuresorska</w:t>
      </w:r>
      <w:proofErr w:type="spellEnd"/>
      <w:r>
        <w:t xml:space="preserve"> javna politika na županijskoj (regionalnoj) razini koja ima karakter socijalne politike jer obuhvaća mjere vezane</w:t>
      </w:r>
      <w:r>
        <w:t xml:space="preserve"> uz socijalnu i zdravstvenu zaštitu, obrazovanje, zapošljavanje, zaštitu prava manjinskih skupina, a povezana je s resorima ekonomske, infrastrukturne i kulturne politike. Ova javna politika je izrađena kroz pet faza koje uključuju identifikaciju načina us</w:t>
      </w:r>
      <w:r>
        <w:t xml:space="preserve">postave političkih ciljeva, formulaciju sadržaja politike, utvrđivanje legitimiteta pojedinih nositelja za provedbu aktivnosti javne politike, razradu provedbenog okvira te razradu evaluacijskog okvira i mehanizma prilagodbe. Akcijski plan dijeli formalne </w:t>
      </w:r>
      <w:r>
        <w:t>i neformalne dionike u provedbi. Pod formalnim dionicima razumiju se jedinice lokalne samouprave i njihove institucije te tijela državne uprave onda kada je nužna suradnja s centralnim sustavom. Neformalni dionici su Romi kao izravno ciljana populacija, ud</w:t>
      </w:r>
      <w:r>
        <w:t xml:space="preserve">ruge Roma, udruge koje se bave pružanjem socijalnih usluga ili drugi </w:t>
      </w:r>
      <w:proofErr w:type="spellStart"/>
      <w:r>
        <w:t>intervenori</w:t>
      </w:r>
      <w:proofErr w:type="spellEnd"/>
      <w:r>
        <w:t xml:space="preserve"> koji pružaju bilo kakve usluge ili potporu Romima, a koji su od humanitarnog ili kulturnog značenja. Akcijski plan polazi od temeljnog načela zaštite od diskriminacije, kojim </w:t>
      </w:r>
      <w:r>
        <w:t>se jača integracija Roma u društvo i jačaju jednake mogućnosti u okviru svih resursa koji su dostupni većinskom stanovništvu. Sve mjere i aktivnosti koje prate Akcijski plan temelje se  na okolnostima koje su utvrđene ocjenom stanja kao diskriminatorne i k</w:t>
      </w:r>
      <w:r>
        <w:t>oje onemogućavaju Rome u ostvarivanju jednakih prilika u lokalnoj zajednici, ali i šire. Pritom vrijedi napomenuti da Akcijski plan samo nadopunjuje postojeće javne politike na državnoj razini konkretizacijom mjera i aktivnosti na lokalnoj razini.</w:t>
      </w:r>
    </w:p>
    <w:p w:rsidR="008E6E79" w:rsidRDefault="009F7D9A">
      <w:pPr>
        <w:tabs>
          <w:tab w:val="left" w:pos="3825"/>
        </w:tabs>
      </w:pPr>
      <w:r>
        <w:t>Prilikom</w:t>
      </w:r>
      <w:r>
        <w:t xml:space="preserve"> razrade Akcijskog plana pažnja je posvećena općenitim nedostacima ciljeva kod izrade javnih politika s obzirom da se često postavlja veliki broj ciljeva, ciljevi su previše općeniti i dvosmisleni, višestruki, a ponekad i međusobno suprotstavljeni. Kako bi</w:t>
      </w:r>
      <w:r>
        <w:t xml:space="preserve"> se Akcijski plan kao javna politika usmjerio prema postizanju što veće operacionalizacije, dinamička struktura Akcijskog plana podijeljena je na </w:t>
      </w:r>
      <w:r>
        <w:rPr>
          <w:i/>
        </w:rPr>
        <w:t>dugoročne</w:t>
      </w:r>
      <w:r>
        <w:t xml:space="preserve"> te </w:t>
      </w:r>
      <w:r>
        <w:rPr>
          <w:i/>
        </w:rPr>
        <w:t>operativne</w:t>
      </w:r>
      <w:r>
        <w:t xml:space="preserve"> ciljeve kroz koje su specificirane mjere i aktivnosti vezane uz konkretne nositelje, d</w:t>
      </w:r>
      <w:r>
        <w:t xml:space="preserve">ionike u provedbi, raspoložive izvore materijalnih resursa i ljudskih kapaciteta te vremenski tijek provedbe. Akcijski Plan temelji se na setu od šest indikatora koji su prema nacionalnim standardima procijenjeni od najveće važnosti za uključivanje Roma u </w:t>
      </w:r>
      <w:r>
        <w:t xml:space="preserve">društvenu zajednicu, a to su: (1) prostorno i komunalno uređenje naselja, stanovanje i zaštita okoliša, (2) suzbijanje siromaštva i socijalna skrb, (3) predškolski i školski odgoj i obrazovanje, (4) zdravstvena zaštita, (5) statusna pitanja i (6) kultura, </w:t>
      </w:r>
      <w:r>
        <w:t>sport i druge mjere za integraciju Roma. Akcijski Plan izrađen je u suradnji s predstavnicima Vijeća romske nacionalne manjine u jedinici lokalne samouprave, predstavnicima udruga Roma i predstavnicima tijela jedinica lokalne samouprave i drugih institucij</w:t>
      </w:r>
      <w:r>
        <w:t>a koji pomažu u provedbi mjera vezanih uz socijalno uključivanje Roma u društvenu zajednicu, dok je procesom upravljao konzultantski tim Programa Ujedinjenih naroda za razvoj (UNDP-Hrvatska) uz financijsku podršku Nacionalne zaklade za razvoj civilnog druš</w:t>
      </w:r>
      <w:r>
        <w:t>tva i Fondova Europskog gospodarskog prostora i Kraljevine Norveške.</w:t>
      </w:r>
    </w:p>
    <w:p w:rsidR="008E6E79" w:rsidRDefault="008E6E79">
      <w:pPr>
        <w:tabs>
          <w:tab w:val="left" w:pos="3825"/>
        </w:tabs>
      </w:pPr>
    </w:p>
    <w:p w:rsidR="008E6E79" w:rsidRDefault="009F7D9A">
      <w:pPr>
        <w:tabs>
          <w:tab w:val="left" w:pos="3825"/>
        </w:tabs>
        <w:rPr>
          <w:b/>
          <w:szCs w:val="24"/>
        </w:rPr>
      </w:pPr>
      <w:r>
        <w:rPr>
          <w:b/>
          <w:szCs w:val="24"/>
        </w:rPr>
        <w:t>2. OCJENA STANJA</w:t>
      </w:r>
    </w:p>
    <w:p w:rsidR="008E6E79" w:rsidRDefault="009F7D9A">
      <w:pPr>
        <w:tabs>
          <w:tab w:val="left" w:pos="3825"/>
        </w:tabs>
        <w:rPr>
          <w:b/>
          <w:szCs w:val="24"/>
        </w:rPr>
      </w:pPr>
      <w:r>
        <w:rPr>
          <w:b/>
          <w:szCs w:val="24"/>
        </w:rPr>
        <w:t>2.1. Prostorno i komunalno uređenje naselja, stanovanje i zaštita okoliša</w:t>
      </w:r>
    </w:p>
    <w:p w:rsidR="008E6E79" w:rsidRDefault="009F7D9A">
      <w:pPr>
        <w:tabs>
          <w:tab w:val="left" w:pos="3825"/>
        </w:tabs>
      </w:pPr>
      <w:r>
        <w:t xml:space="preserve">Najveći broj pripadnika romske nacionalne manjine prema Popisu stanovništva iz 2011. godine </w:t>
      </w:r>
      <w:r>
        <w:t xml:space="preserve">boravi na području grada Rijeke (867). U Rijeci se nalaze 4 naselja u kojima su većina ili gotovo svi stanovnici pripadnici romske nacionalne manjine, zatim 10 lokacija u Delnicama, u Brodu na Kupi i u </w:t>
      </w:r>
      <w:proofErr w:type="spellStart"/>
      <w:r>
        <w:t>Dedinu</w:t>
      </w:r>
      <w:proofErr w:type="spellEnd"/>
      <w:r>
        <w:t xml:space="preserve"> po 2 naselja te po 1 naselje u Crikvenici, Novo</w:t>
      </w:r>
      <w:r>
        <w:t xml:space="preserve">m Vinodolskom, Omišlju, Brod </w:t>
      </w:r>
      <w:proofErr w:type="spellStart"/>
      <w:r>
        <w:t>Moravicama</w:t>
      </w:r>
      <w:proofErr w:type="spellEnd"/>
      <w:r>
        <w:t xml:space="preserve">, Čabru i Lučicama. </w:t>
      </w:r>
      <w:r>
        <w:tab/>
      </w:r>
    </w:p>
    <w:p w:rsidR="008E6E79" w:rsidRDefault="009F7D9A">
      <w:pPr>
        <w:tabs>
          <w:tab w:val="left" w:pos="3825"/>
        </w:tabs>
      </w:pPr>
      <w:r>
        <w:t xml:space="preserve">Većina objekata na području grada Rijeke jest legalizirano, ali i dalje postoje problemi s legalizacijom određenog broja objekata. U Rijeci, naselje </w:t>
      </w:r>
      <w:proofErr w:type="spellStart"/>
      <w:r>
        <w:t>Rujevica</w:t>
      </w:r>
      <w:proofErr w:type="spellEnd"/>
      <w:r>
        <w:t xml:space="preserve"> postoji dulje od 40 godina. Naselje s</w:t>
      </w:r>
      <w:r>
        <w:t xml:space="preserve">amo djelomično ima pristup gradskoj komunalnoj strukturi. Iako je većina objekata izgrađena u skladu sa standardima stanovanja, neki objekti ispod su takvog standarda, bez struje, vode i kanalizacije. Primjećuje se da iako je dostupna, električna energija </w:t>
      </w:r>
      <w:r>
        <w:t xml:space="preserve">povlači se iz jednog stambenog objekta. Slična situacija je i s dostupnošću vode. Neki objekti izgrađeni su na takav način da postoji opasnost od požara, a i događali su se požari u naselju. Potrebna je legalizacija za još 20 objekata u naselju, s time da </w:t>
      </w:r>
      <w:r>
        <w:t xml:space="preserve">8 objekata nije moguće legalizirati jer ne zadovoljavaju standarde kvalitete. </w:t>
      </w:r>
    </w:p>
    <w:p w:rsidR="008E6E79" w:rsidRDefault="009F7D9A">
      <w:pPr>
        <w:tabs>
          <w:tab w:val="left" w:pos="3825"/>
        </w:tabs>
      </w:pPr>
      <w:r>
        <w:t>U Crikvenici postoji Akcijski plan uključivanja Roma koji predviđa Program izgradnje romskog naselja i aktivnosti povezane s ispunjenjem tog Programa u 2015. godini, ali postoje</w:t>
      </w:r>
      <w:r>
        <w:t xml:space="preserve"> značajne nesuglasice među romskim stanovništvom u Crikvenici o načinu na koji je potrebno pristupiti tom Programu. U tom smislu, čini se da postoje dva modela: prvi da se romska populacija preseli u gradske stanove i drugi da oni koji su ulagali u svoje s</w:t>
      </w:r>
      <w:r>
        <w:t>tambene objekte dobiju mogućnost legalizacije i priključaka na komunalnu infrastrukturu u postojećem naselju.</w:t>
      </w:r>
    </w:p>
    <w:p w:rsidR="008E6E79" w:rsidRDefault="009F7D9A">
      <w:pPr>
        <w:tabs>
          <w:tab w:val="left" w:pos="3825"/>
        </w:tabs>
      </w:pPr>
      <w:r>
        <w:t>Velik problem predstavljaju naselja koja se nalaze na zemljištu koje je u privatnom vlasništvu. Općina Omišalj ima veliko naselje koje se u cijelo</w:t>
      </w:r>
      <w:r>
        <w:t>sti nalazi na zemljištu koje je u privatnom vlasništvu. Neovisno o tome, romsko stanovništvo nastavlja bespravno graditi nove objekte i ulagati u infrastrukturu postojećih, iako nije izgledno da će tamo moći ostati s obzirom da se privatno vlasništvo ne mo</w:t>
      </w:r>
      <w:r>
        <w:t xml:space="preserve">že obuhvatiti nacionalnim i lokalnim strategijama i planovima. Problem s privatnim vlasništvom postoji i u Gradu Rijeci, naselju </w:t>
      </w:r>
      <w:proofErr w:type="spellStart"/>
      <w:r>
        <w:t>Rujevica</w:t>
      </w:r>
      <w:proofErr w:type="spellEnd"/>
      <w:r>
        <w:t xml:space="preserve">, gdje 70% pripada Gradu, no 30% zemljišta je u privatnom vlasništvu. </w:t>
      </w:r>
    </w:p>
    <w:p w:rsidR="008E6E79" w:rsidRDefault="009F7D9A">
      <w:pPr>
        <w:tabs>
          <w:tab w:val="left" w:pos="3825"/>
        </w:tabs>
      </w:pPr>
      <w:r>
        <w:t>Iznimno loše treba ocijeniti situaciju naselja n</w:t>
      </w:r>
      <w:r>
        <w:t xml:space="preserve">a području grada Delnica. U naselju u mjestu Brod na Kupi ne postoje niti građevinski objekti već stanovništvo živi toplijim mjesecima u šatorima, a tijekom zime se sklanjaju u napuštene građevine. </w:t>
      </w:r>
    </w:p>
    <w:p w:rsidR="008E6E79" w:rsidRDefault="008E6E79">
      <w:pPr>
        <w:tabs>
          <w:tab w:val="left" w:pos="3825"/>
        </w:tabs>
      </w:pPr>
    </w:p>
    <w:p w:rsidR="008E6E79" w:rsidRDefault="009F7D9A">
      <w:pPr>
        <w:tabs>
          <w:tab w:val="left" w:pos="3825"/>
        </w:tabs>
        <w:rPr>
          <w:b/>
          <w:szCs w:val="24"/>
        </w:rPr>
      </w:pPr>
      <w:r>
        <w:rPr>
          <w:b/>
          <w:szCs w:val="24"/>
        </w:rPr>
        <w:t>2.2. Suzbijanje siromaštva i socijalna skrb</w:t>
      </w:r>
    </w:p>
    <w:p w:rsidR="008E6E79" w:rsidRDefault="009F7D9A">
      <w:pPr>
        <w:tabs>
          <w:tab w:val="left" w:pos="3825"/>
        </w:tabs>
      </w:pPr>
      <w:r>
        <w:t>Uvodno valja</w:t>
      </w:r>
      <w:r>
        <w:t xml:space="preserve"> reći kako predstavnici romske nacionalne manjine izvješćuju o problemima vezanim uz primjenu generalnog zakonodavstva Republike Hrvatske iz područja socijalne skrbi. Određeni broj Roma ne prima nikakvu pomoć iz Državnog proračuna i time je za njihovo soci</w:t>
      </w:r>
      <w:r>
        <w:t>jalno zbrinjavanje veći teret stavljen na jedinice regionalne i lokalne samouprave.</w:t>
      </w:r>
    </w:p>
    <w:p w:rsidR="008E6E79" w:rsidRDefault="008E6E79">
      <w:pPr>
        <w:tabs>
          <w:tab w:val="left" w:pos="3825"/>
        </w:tabs>
      </w:pPr>
    </w:p>
    <w:p w:rsidR="008E6E79" w:rsidRDefault="009F7D9A">
      <w:pPr>
        <w:tabs>
          <w:tab w:val="left" w:pos="3825"/>
        </w:tabs>
        <w:rPr>
          <w:b/>
        </w:rPr>
      </w:pPr>
      <w:r>
        <w:rPr>
          <w:b/>
        </w:rPr>
        <w:t>2.2.1. Zapošljavanje</w:t>
      </w:r>
    </w:p>
    <w:p w:rsidR="008E6E79" w:rsidRDefault="009F7D9A">
      <w:pPr>
        <w:tabs>
          <w:tab w:val="left" w:pos="3825"/>
        </w:tabs>
      </w:pPr>
      <w:r>
        <w:t xml:space="preserve">Zapošljavanje je primarna mjera namijenjena suzbijanju siromaštva, s obzirom da se njime stječu prihodi kojima se mogu zadovoljiti osnovne životne </w:t>
      </w:r>
      <w:r>
        <w:t>potrebe. Većina mjera dostupnih za zapošljavanje pripadnika romske nacionalne manjine vezana je uz centralizirane funkcije Hrvatskog zavoda za zapošljavanje. U tom dijelu, kao najviše iskorištena mjera izdvaja se korištenje programa javnih radova. Nedostac</w:t>
      </w:r>
      <w:r>
        <w:t>i ovog programa su u sporosti procesa, kao i činjenici da se mjere pretežito odnose na zapošljavanje Roma za rad sa samim Romima; iako takvo zapošljavanje ima donekle integrativnu ulogu, s druge strane ne otvara se tržište rada za romsku populaciju u javno</w:t>
      </w:r>
      <w:r>
        <w:t xml:space="preserve">m sektoru koji je dostupan svim građanima. Hrvatski zavod za zapošljavanje provodi radionice aktivnog traženja posla; stjecanje vještina, traženje posla, predstavljanje poslodavcu, </w:t>
      </w:r>
      <w:proofErr w:type="spellStart"/>
      <w:r>
        <w:t>samoprocjena</w:t>
      </w:r>
      <w:proofErr w:type="spellEnd"/>
      <w:r>
        <w:t xml:space="preserve"> potencijala. U određenom dijelu, u kategoriji djece sa teškoća</w:t>
      </w:r>
      <w:r>
        <w:t>ma u razvoju moguće je profesionalno usmjeravanje, no romska populacija to rijetko koristi. Putem Ministarstva znanosti, obrazovanja i sporta omogućeno je da djeca Romi imaju prednost pri upisu u srednju školu pri čemu je važan prvi izbor zvanja. Iz prakse</w:t>
      </w:r>
      <w:r>
        <w:t xml:space="preserve"> se saznaje da su uglavnom izabiru zanimanja za koje je potrebno trogodišnje školovanje. Iako postoje brojne mjere za povećanje </w:t>
      </w:r>
      <w:proofErr w:type="spellStart"/>
      <w:r>
        <w:t>zapošljivosti</w:t>
      </w:r>
      <w:proofErr w:type="spellEnd"/>
      <w:r>
        <w:t xml:space="preserve"> Roma, Romi te mjere slabo koriste pa je ključno njihovo informiranje i edukacija o tim mjerama te veća uključenost</w:t>
      </w:r>
      <w:r>
        <w:t xml:space="preserve"> same romske zajednice u komunikaciju s Hrvatskim zavodom za zapošljavanje.</w:t>
      </w:r>
    </w:p>
    <w:p w:rsidR="008E6E79" w:rsidRDefault="009F7D9A">
      <w:pPr>
        <w:tabs>
          <w:tab w:val="left" w:pos="3825"/>
        </w:tabs>
      </w:pPr>
      <w:r>
        <w:t>Pored programa javnih radova, dostupnost drugih mjera za zapošljavanje, naročito one vezane uz osposobljavanje za rad ili prekvalifikaciju ograničena je zbog niskog obrazovanja rom</w:t>
      </w:r>
      <w:r>
        <w:t>ske populacije; 70% nema završenu osnovnu školu. Zapošljavanje Roma u realnom sektoru je s jedne strane onemogućeno zbog nedostatka kvalifikacija i iskustva, a s druge strane i kod onih rijetkih koji su stekli odgovarajuće obrazovanje i iskustvo prisutna j</w:t>
      </w:r>
      <w:r>
        <w:t>e i potencijalna diskriminacija i to po osnovi boje kože i/ili zbog etničke pripadnosti.</w:t>
      </w:r>
    </w:p>
    <w:p w:rsidR="008E6E79" w:rsidRDefault="008E6E79">
      <w:pPr>
        <w:tabs>
          <w:tab w:val="left" w:pos="3825"/>
        </w:tabs>
      </w:pPr>
    </w:p>
    <w:p w:rsidR="008E6E79" w:rsidRDefault="009F7D9A">
      <w:pPr>
        <w:tabs>
          <w:tab w:val="left" w:pos="3825"/>
        </w:tabs>
        <w:rPr>
          <w:b/>
        </w:rPr>
      </w:pPr>
      <w:r>
        <w:rPr>
          <w:b/>
        </w:rPr>
        <w:t>2.2.2. Socijalna zaštita</w:t>
      </w:r>
    </w:p>
    <w:p w:rsidR="008E6E79" w:rsidRDefault="009F7D9A">
      <w:pPr>
        <w:tabs>
          <w:tab w:val="left" w:pos="3825"/>
        </w:tabs>
      </w:pPr>
      <w:r>
        <w:t>Romi na području Primorsko-goranske županije u pravilu koriste novčane naknade prema Zakonu o socijalnoj skrbi i to zajamčenu minimalnu nakna</w:t>
      </w:r>
      <w:r>
        <w:t>du, uz što se kombiniraju jednokratne novčane pomoći i po potrebi i pomoć za njegu u kući te osobna invalidnina. Na području Grada Rijeke razvijene su i socijalne usluge za osobe s invaliditetom u smislu osobne asistencije, no romska populacija o tome nema</w:t>
      </w:r>
      <w:r>
        <w:t xml:space="preserve"> dovoljno saznanja i potrebno je povezivanje s tim resursima kako bi se zadovoljile potrebe osoba s invaliditetom. Koristi se i mogućnost pomoći i njege u kući u suradnji sa Domom za starije osobe „Kantrida“. Vijeće romske nacionalne manjine Primorsko-gora</w:t>
      </w:r>
      <w:r>
        <w:t>nske županije ističe da je dogovorena suradnja s mjesnim odborima i kako je dosta korisnika u tretmanu Centra za socijalnu skrb planiraju se zajedničke terenske posjete najugroženijim obiteljima.</w:t>
      </w:r>
    </w:p>
    <w:p w:rsidR="008E6E79" w:rsidRDefault="009F7D9A">
      <w:pPr>
        <w:tabs>
          <w:tab w:val="left" w:pos="3825"/>
        </w:tabs>
      </w:pPr>
      <w:r>
        <w:t>Za osobe bez odgovarajućeg stambenog smještaja, postoji mogu</w:t>
      </w:r>
      <w:r>
        <w:t xml:space="preserve">ćnost nužnog smještaja što se koristi i za romsku populaciju, no takav smještaj nije odgovarajući za veće obitelji. Naime, s obzirom na veličinu stambenog objekta, takav je smještaj primjereniji za manje obitelji ili samce. </w:t>
      </w:r>
    </w:p>
    <w:p w:rsidR="008E6E79" w:rsidRDefault="009F7D9A">
      <w:pPr>
        <w:tabs>
          <w:tab w:val="left" w:pos="3825"/>
        </w:tabs>
      </w:pPr>
      <w:r>
        <w:t>Iz socijalnih programa jedinica</w:t>
      </w:r>
      <w:r>
        <w:t xml:space="preserve"> lokalne samouprave pokrivaju se troškovi stanovanja. U Gradu Rijeci velika su ulaganja u program socijalne zaštite, a Odlukom o socijalnoj skrbi predviđa se 25 oblika pomoći. Te su pomoći dostupne i Romima, a posebno se ističu subvencije za boravak djece </w:t>
      </w:r>
      <w:r>
        <w:t xml:space="preserve">u vrtiću, korištenje pučke kuhinje i pravo na topli obrok u osnovnoj školi. Problemi postoje u vezi pokrivanja troškova komunalne naknade za objekte koji nisu legalizirani. U Omišlju se daje novčani bon do najviše 300,00 kn mjesečno putem kojeg se u dva </w:t>
      </w:r>
      <w:proofErr w:type="spellStart"/>
      <w:r>
        <w:t>ma</w:t>
      </w:r>
      <w:r>
        <w:t>rketa</w:t>
      </w:r>
      <w:proofErr w:type="spellEnd"/>
      <w:r>
        <w:t xml:space="preserve"> može kupiti sve osim alkohola i cigareta. </w:t>
      </w:r>
    </w:p>
    <w:p w:rsidR="008E6E79" w:rsidRDefault="009F7D9A">
      <w:pPr>
        <w:tabs>
          <w:tab w:val="left" w:pos="3825"/>
        </w:tabs>
      </w:pPr>
      <w:r>
        <w:t>U vezi socijalnih usluga, grad Rijeka ima 40 asistenata koji su zaposleni kao pomoćnici u nastavi, a u pravilu škola posreduje prema korisnicima. Također dodjeljuju se i novčana sredstva za poticanje obrazov</w:t>
      </w:r>
      <w:r>
        <w:t xml:space="preserve">anja Roma. Teškoće postoje u Gradu Crikvenici prilikom ostvarivanja prava na osobnu asistenciju u nastavi za dijete s invaliditetom. </w:t>
      </w:r>
    </w:p>
    <w:p w:rsidR="008E6E79" w:rsidRDefault="008E6E79">
      <w:pPr>
        <w:tabs>
          <w:tab w:val="left" w:pos="3825"/>
        </w:tabs>
      </w:pPr>
    </w:p>
    <w:p w:rsidR="008E6E79" w:rsidRDefault="009F7D9A">
      <w:pPr>
        <w:tabs>
          <w:tab w:val="left" w:pos="3825"/>
        </w:tabs>
        <w:rPr>
          <w:b/>
          <w:szCs w:val="24"/>
        </w:rPr>
      </w:pPr>
      <w:r>
        <w:rPr>
          <w:b/>
          <w:szCs w:val="24"/>
        </w:rPr>
        <w:t>2.3. Predškolski i školski odgoj i obrazovanje</w:t>
      </w:r>
    </w:p>
    <w:p w:rsidR="008E6E79" w:rsidRDefault="009F7D9A">
      <w:pPr>
        <w:tabs>
          <w:tab w:val="left" w:pos="3825"/>
        </w:tabs>
      </w:pPr>
      <w:r>
        <w:t>U vezi predškolskog odgoja održavali su se programi u Gradu Rijeci za djec</w:t>
      </w:r>
      <w:r>
        <w:t xml:space="preserve">u romske nacionalne manjine koja zbog jezične barijere imaju pravo na povećan broj sati. U Crikvenici se također navodi jezična barijera kao problem pa je potreban asistent za rad u predškolskom programu. </w:t>
      </w:r>
    </w:p>
    <w:p w:rsidR="008E6E79" w:rsidRDefault="009F7D9A">
      <w:pPr>
        <w:tabs>
          <w:tab w:val="left" w:pos="3825"/>
        </w:tabs>
      </w:pPr>
      <w:r>
        <w:t>U Rijeci su putem mjera za zapošljavanje zaposlena</w:t>
      </w:r>
      <w:r>
        <w:t xml:space="preserve"> 4 pomoćnika u nastavi i to je organizirano, no problem je da djeca napuštaju školu u 6. i 7. razredu osnovnih škola i da je potreban veći poticaj roditelja da nastave obrazovanje.</w:t>
      </w:r>
    </w:p>
    <w:p w:rsidR="008E6E79" w:rsidRDefault="009F7D9A">
      <w:pPr>
        <w:tabs>
          <w:tab w:val="left" w:pos="3825"/>
        </w:tabs>
      </w:pPr>
      <w:r>
        <w:t xml:space="preserve">Hrvatski zavod za zapošljavanje ističe da postoje programi osposobljavanja </w:t>
      </w:r>
      <w:r>
        <w:t xml:space="preserve">Roma, ali koji se ne mogu iskoristiti jer većina nije završila osnovnu školu. Moguće je i završavanje osnovne škole, ali za to nema dovoljno interesa u romskoj populaciji. Prekvalifikacija je moguća samo za osobe koje imaju već završenu srednju školu, ali </w:t>
      </w:r>
      <w:r>
        <w:t>se ta mjera općenito rijetko primjenjuje zbog nedostatka financijskih sredstava.</w:t>
      </w:r>
    </w:p>
    <w:p w:rsidR="008E6E79" w:rsidRDefault="008E6E79">
      <w:pPr>
        <w:tabs>
          <w:tab w:val="left" w:pos="3825"/>
        </w:tabs>
      </w:pPr>
    </w:p>
    <w:p w:rsidR="008E6E79" w:rsidRDefault="009F7D9A">
      <w:pPr>
        <w:tabs>
          <w:tab w:val="left" w:pos="3825"/>
        </w:tabs>
        <w:rPr>
          <w:b/>
          <w:szCs w:val="24"/>
        </w:rPr>
      </w:pPr>
      <w:r>
        <w:rPr>
          <w:b/>
          <w:szCs w:val="24"/>
        </w:rPr>
        <w:t>2.4. Zdravstvena zaštita</w:t>
      </w:r>
    </w:p>
    <w:p w:rsidR="008E6E79" w:rsidRDefault="009F7D9A">
      <w:pPr>
        <w:tabs>
          <w:tab w:val="left" w:pos="3825"/>
        </w:tabs>
      </w:pPr>
      <w:r>
        <w:t>Problemi prijavljivanja Roma na zdravstveno osiguranje povezani su u Primorsko-goranskoj županiji sa pitanjem rješavanja statusa; državljanstva, stat</w:t>
      </w:r>
      <w:r>
        <w:t>usa stranca na stalnom boravku i prebivališta. Svima koji imaju zdravstveno osiguranje dostupna je primarna zdravstvena zaštita; svi imaju pristup liječniku opće medicine i žene ginekologu. Nešto je slabije dostupna stomatološka zdravstvena zaštita.</w:t>
      </w:r>
    </w:p>
    <w:p w:rsidR="008E6E79" w:rsidRDefault="009F7D9A">
      <w:r>
        <w:t>Nastav</w:t>
      </w:r>
      <w:r>
        <w:t>ni zavod za javno zdravstvo Primorsko-goranske županije provodi zdravstveni odgoj, edukacije o higijeni i promicanju zdravih stilova života u naseljima u kojima pripadnici romske nacionalne manjine čine većinu stanovništva. U tim naseljima su loši higijens</w:t>
      </w:r>
      <w:r>
        <w:t>ki uvjeti i postoji opasnost od širenja zaraznih bolesti,a  edukacije obuhvaćaju i one o spolnom zdravlju i zaraznim bolestima</w:t>
      </w:r>
      <w:r>
        <w:rPr>
          <w:rFonts w:ascii="Cambria" w:hAnsi="Cambria"/>
        </w:rPr>
        <w:t>.</w:t>
      </w:r>
      <w:r>
        <w:rPr>
          <w:rFonts w:ascii="Cambria" w:hAnsi="Cambria" w:cs="Arial"/>
        </w:rPr>
        <w:t xml:space="preserve">   </w:t>
      </w:r>
      <w:proofErr w:type="spellStart"/>
      <w:r>
        <w:rPr>
          <w:rFonts w:cs="Arial"/>
        </w:rPr>
        <w:t>Monitoring</w:t>
      </w:r>
      <w:proofErr w:type="spellEnd"/>
      <w:r>
        <w:rPr>
          <w:rFonts w:cs="Arial"/>
        </w:rPr>
        <w:t xml:space="preserve"> vode za piće se u sklopu Programa za Rome vrši redovito dva puta godišnje, po potrebi kod loših nalaza i češće, a i</w:t>
      </w:r>
      <w:r>
        <w:rPr>
          <w:rFonts w:cs="Arial"/>
        </w:rPr>
        <w:t xml:space="preserve">zvješća s nalazom i opisom eventualnog problema se dostavljaju 2 puta godišnje. U Gorskom kotaru nisu sva naselja spojena na vodovod, a nije riješena niti alternativna opskrba zdravstveno ispravnom </w:t>
      </w:r>
      <w:proofErr w:type="spellStart"/>
      <w:r>
        <w:rPr>
          <w:rFonts w:cs="Arial"/>
        </w:rPr>
        <w:t>vodom.</w:t>
      </w:r>
      <w:proofErr w:type="spellEnd"/>
      <w:r>
        <w:rPr>
          <w:rFonts w:cs="Arial"/>
        </w:rPr>
        <w:t>.</w:t>
      </w:r>
    </w:p>
    <w:p w:rsidR="008E6E79" w:rsidRDefault="009F7D9A">
      <w:pPr>
        <w:tabs>
          <w:tab w:val="left" w:pos="3825"/>
        </w:tabs>
      </w:pPr>
      <w:r>
        <w:t>Mjere deratizacije, dezinsekcije i dezinfekcije re</w:t>
      </w:r>
      <w:r>
        <w:t xml:space="preserve">dovito se provode; vrši se epidemiološki izvid </w:t>
      </w:r>
      <w:r>
        <w:rPr>
          <w:rFonts w:cs="Arial"/>
        </w:rPr>
        <w:t>službe Sanitarne inspekcije i nadležne Epidemiološke službe</w:t>
      </w:r>
      <w:r>
        <w:t xml:space="preserve"> , pristupa se odvozu otpada, mjerama deratizacije i dezinsekcije za komarce. Ove mjere provode se tri puta godišnje, uz uvjet da je iz naselja uklonj</w:t>
      </w:r>
      <w:r>
        <w:t>en otpad. Stanje higijene i čistoće okoliša u naseljima na području Grada Rijeke je u redu, no veliki problemi postoje u Crikvenici, Delnicama i u Omišlju gdje se u naselju nalazi veliki deponij za otpad.</w:t>
      </w:r>
    </w:p>
    <w:p w:rsidR="008E6E79" w:rsidRDefault="009F7D9A">
      <w:pPr>
        <w:tabs>
          <w:tab w:val="left" w:pos="3825"/>
        </w:tabs>
      </w:pPr>
      <w:r>
        <w:t xml:space="preserve">U naseljima romske nacionalne manjine provodilo se </w:t>
      </w:r>
      <w:r>
        <w:t xml:space="preserve">cijepljenje protiv ospica. Najlošije se može ocijeniti procijepljenost romske populacije u naseljima s područja Gorskog kotara. </w:t>
      </w:r>
    </w:p>
    <w:p w:rsidR="008E6E79" w:rsidRDefault="009F7D9A">
      <w:pPr>
        <w:tabs>
          <w:tab w:val="left" w:pos="3825"/>
        </w:tabs>
      </w:pPr>
      <w:r>
        <w:t>U pogledu prevencije kroničnih nezaraznih bolesti i invaliditeta provode se nacionalni programi (primjerice prevencije raka doj</w:t>
      </w:r>
      <w:r>
        <w:t>ke i raka grlića maternice), no problem je što se pozivi za pojedinačne aktivnosti ranog otkrivanja šalju poštom na adrese na kojima Romkinje ne žive, a Zavod za javno zdravstvo nema bazu podatka s aktualnim adresama žena. Nastavni zavod za javno zdravstvo</w:t>
      </w:r>
      <w:r>
        <w:t xml:space="preserve"> ima serije edukativnih programa i važna im je suradnja sa romskom nacionalnom manjinom na području Županije kako bi se pokrio što je veći broj stanovnika.</w:t>
      </w:r>
    </w:p>
    <w:p w:rsidR="008E6E79" w:rsidRDefault="008E6E79">
      <w:pPr>
        <w:tabs>
          <w:tab w:val="left" w:pos="3825"/>
        </w:tabs>
      </w:pPr>
    </w:p>
    <w:p w:rsidR="008E6E79" w:rsidRDefault="009F7D9A">
      <w:pPr>
        <w:tabs>
          <w:tab w:val="left" w:pos="3825"/>
        </w:tabs>
        <w:rPr>
          <w:b/>
          <w:szCs w:val="24"/>
        </w:rPr>
      </w:pPr>
      <w:r>
        <w:rPr>
          <w:b/>
          <w:szCs w:val="24"/>
        </w:rPr>
        <w:t>2.5. Statusna pitanja</w:t>
      </w:r>
    </w:p>
    <w:p w:rsidR="008E6E79" w:rsidRDefault="009F7D9A">
      <w:pPr>
        <w:tabs>
          <w:tab w:val="left" w:pos="3825"/>
        </w:tabs>
      </w:pPr>
      <w:r>
        <w:t>Određeni broj osoba na području Primorsko-goranske županije nema hrvatsko drž</w:t>
      </w:r>
      <w:r>
        <w:t>avljanstvo niti uređen status stranca na području Republike Hrvatske. Potrebno je ojačati sustav besplatne pravne pomoći za pomoć u ostvarenju prava iz područja državljanstva i boravka stranaca. Nepravilnosti koje su utvrđene u ostvarivanju prava osoba koj</w:t>
      </w:r>
      <w:r>
        <w:t>e su izgubile hrvatsko državljanstvo, ispravljene su donošenjem Zakona o  izmjenama i dopuni Zakona o hrvatskom državljanstvu, koji je Hrvatski sabor usvojio 1. listopada 2015. godine.</w:t>
      </w:r>
    </w:p>
    <w:p w:rsidR="008E6E79" w:rsidRDefault="008E6E79">
      <w:pPr>
        <w:tabs>
          <w:tab w:val="left" w:pos="3825"/>
        </w:tabs>
      </w:pPr>
    </w:p>
    <w:p w:rsidR="008E6E79" w:rsidRDefault="009F7D9A">
      <w:pPr>
        <w:tabs>
          <w:tab w:val="left" w:pos="3825"/>
        </w:tabs>
        <w:rPr>
          <w:b/>
          <w:szCs w:val="24"/>
        </w:rPr>
      </w:pPr>
      <w:r>
        <w:rPr>
          <w:b/>
          <w:szCs w:val="24"/>
        </w:rPr>
        <w:t>2.6. Kultura, sport i druge mjere za integraciju Roma</w:t>
      </w:r>
    </w:p>
    <w:p w:rsidR="008E6E79" w:rsidRDefault="009F7D9A">
      <w:pPr>
        <w:tabs>
          <w:tab w:val="left" w:pos="3825"/>
        </w:tabs>
      </w:pPr>
      <w:r>
        <w:t>Zaštita kulturne</w:t>
      </w:r>
      <w:r>
        <w:t xml:space="preserve"> baštine, jezika i sportske aktivnosti najmanje su zastupljeni među svim istaknutim pitanjima i aktivnostima vezanim uz položaj romske nacionalne manjine. Aktivnosti koje se provode na razini udruga romske nacionalne manjine vezane su uz jačanje glazbene i</w:t>
      </w:r>
      <w:r>
        <w:t xml:space="preserve"> plesne kulture, no premalo je aktivnosti usmjerenih njegovanju romskog jezika što je i povezano sa nedostatkom vlastitog pisma. U vezi sa sportskim aktivnostima nedostaju sportska igrališta u naseljima; djeca i adolescenti nemaju gdje provoditi slobodno v</w:t>
      </w:r>
      <w:r>
        <w:t>rijeme. Resursi dostupni općoj populaciji generalno nisu dobro iskorišteni.</w:t>
      </w:r>
    </w:p>
    <w:p w:rsidR="008E6E79" w:rsidRDefault="008E6E79">
      <w:pPr>
        <w:tabs>
          <w:tab w:val="left" w:pos="3825"/>
        </w:tabs>
      </w:pPr>
    </w:p>
    <w:p w:rsidR="008E6E79" w:rsidRDefault="009F7D9A">
      <w:pPr>
        <w:tabs>
          <w:tab w:val="left" w:pos="3825"/>
        </w:tabs>
        <w:rPr>
          <w:b/>
          <w:szCs w:val="24"/>
        </w:rPr>
      </w:pPr>
      <w:r>
        <w:rPr>
          <w:b/>
          <w:szCs w:val="24"/>
        </w:rPr>
        <w:t>3. DOSTUPNOST EUROPSKIH FONDOVA ZA PROGRAME UKLJUČIVANJA ROMA</w:t>
      </w:r>
    </w:p>
    <w:p w:rsidR="008E6E79" w:rsidRDefault="009F7D9A">
      <w:pPr>
        <w:tabs>
          <w:tab w:val="left" w:pos="3825"/>
        </w:tabs>
        <w:rPr>
          <w:szCs w:val="36"/>
        </w:rPr>
      </w:pPr>
      <w:r>
        <w:rPr>
          <w:szCs w:val="36"/>
        </w:rPr>
        <w:t>Pristupanjem Republike Hrvatske Europskoj uniji 1. srpnja 2013. godine otvorena je mogućnost povlačenja europskih str</w:t>
      </w:r>
      <w:r>
        <w:rPr>
          <w:szCs w:val="36"/>
        </w:rPr>
        <w:t>ukturnih fondova namijenjenih socijalnom uključivanju Roma. S obzirom na često iskazane nedostatke financijskih resursa koji predstavljaju prepreku u ostvarenju mjera za integraciju Roma, dobro programiranje i iskorištenost EU fondova od strane jedinica lo</w:t>
      </w:r>
      <w:r>
        <w:rPr>
          <w:szCs w:val="36"/>
        </w:rPr>
        <w:t>kalne samouprave mogu povećati izglede za uspješnu provedbu Akcijskog plana. Europska '</w:t>
      </w:r>
      <w:proofErr w:type="spellStart"/>
      <w:r>
        <w:rPr>
          <w:szCs w:val="36"/>
        </w:rPr>
        <w:t>agenda</w:t>
      </w:r>
      <w:proofErr w:type="spellEnd"/>
      <w:r>
        <w:rPr>
          <w:szCs w:val="36"/>
        </w:rPr>
        <w:t>' protiv siromaštva i socijalne isključenosti predstavlja okvir za postizanje ciljeva Europske unije vezanih uz smanjenje siromaštva i socijalne isključenosti za n</w:t>
      </w:r>
      <w:r>
        <w:rPr>
          <w:szCs w:val="36"/>
        </w:rPr>
        <w:t xml:space="preserve">ajmanje 20 milijuna ljudi do 2020. godine. Ta platforma među ostalim uključuje i bolje korištenje EU fondova za podršku socijalnom uključivanju i suzbijanju diskriminacije. </w:t>
      </w:r>
    </w:p>
    <w:p w:rsidR="008E6E79" w:rsidRDefault="009F7D9A">
      <w:pPr>
        <w:tabs>
          <w:tab w:val="left" w:pos="3825"/>
        </w:tabs>
        <w:rPr>
          <w:szCs w:val="36"/>
        </w:rPr>
      </w:pPr>
      <w:r>
        <w:rPr>
          <w:szCs w:val="36"/>
        </w:rPr>
        <w:t>Nakon pristupanja Republike Hrvatske Europskoj uniji, postali su dostupni instrume</w:t>
      </w:r>
      <w:r>
        <w:rPr>
          <w:szCs w:val="36"/>
        </w:rPr>
        <w:t xml:space="preserve">nti kohezijske politike, a to su Europski fond za regionalni razvoj (EFRR), Europski socijalni fond (ESF) i Kohezijski fond. </w:t>
      </w:r>
    </w:p>
    <w:p w:rsidR="008E6E79" w:rsidRDefault="009F7D9A">
      <w:pPr>
        <w:tabs>
          <w:tab w:val="left" w:pos="3825"/>
        </w:tabs>
      </w:pPr>
      <w:r>
        <w:rPr>
          <w:i/>
          <w:szCs w:val="36"/>
        </w:rPr>
        <w:t>Europski fond za regionalni razvoj</w:t>
      </w:r>
      <w:r>
        <w:rPr>
          <w:szCs w:val="36"/>
        </w:rPr>
        <w:t xml:space="preserve"> bavi se jačanjem ekonomske i socijalne kohezije te smanjivanjem razlika između regija unutar EU</w:t>
      </w:r>
      <w:r>
        <w:rPr>
          <w:szCs w:val="36"/>
        </w:rPr>
        <w:t>. Uglavnom je usmjeren na infrastrukturne investicije, proizvodne investicije u cilju otvaranja radnih mjesta te na lokalni razvoj i razvoj malog i srednjeg poduzetništva. S obzirom da su ciljevi ovog fonda prvenstveno povezani sa lokalnim razvojem i suzbi</w:t>
      </w:r>
      <w:r>
        <w:rPr>
          <w:szCs w:val="36"/>
        </w:rPr>
        <w:t>janjem siromaštva, on je od krucijalne važnosti za ispunjenje mjera ovog Akcijskog plana u poboljšavanju uvjeta za rast i zapošljavanje kroz povećanje i poboljšanje kvalitete investiranja u fizički i ljudski kapital, razvoj inovacija i društva znanja, pril</w:t>
      </w:r>
      <w:r>
        <w:rPr>
          <w:szCs w:val="36"/>
        </w:rPr>
        <w:t xml:space="preserve">agodljivost gospodarskih i društvenih promjena, zaštitu i poboljšanje okoliša kao i administrativnu učinkovitost. </w:t>
      </w:r>
    </w:p>
    <w:p w:rsidR="008E6E79" w:rsidRDefault="009F7D9A">
      <w:pPr>
        <w:tabs>
          <w:tab w:val="left" w:pos="3825"/>
        </w:tabs>
      </w:pPr>
      <w:r>
        <w:rPr>
          <w:szCs w:val="36"/>
        </w:rPr>
        <w:t xml:space="preserve">Pozornost svakako treba obratiti i na </w:t>
      </w:r>
      <w:r>
        <w:rPr>
          <w:i/>
          <w:szCs w:val="36"/>
        </w:rPr>
        <w:t>Europski socijalni fond</w:t>
      </w:r>
      <w:r>
        <w:rPr>
          <w:szCs w:val="36"/>
        </w:rPr>
        <w:t xml:space="preserve"> čiji su ciljevi smanjenje razlika u životnom standardu i blagostanju u državama</w:t>
      </w:r>
      <w:r>
        <w:rPr>
          <w:szCs w:val="36"/>
        </w:rPr>
        <w:t xml:space="preserve"> članicama Europske unije i njihovih regija te time promicanje gospodarske i socijalne kohezije. Sredstva su namijenjena poboljšanju kvalitete života građana EU omogućavanjem stjecanja novih vještina i boljih mogućnosti zapošljavanja. </w:t>
      </w:r>
    </w:p>
    <w:p w:rsidR="008E6E79" w:rsidRDefault="009F7D9A">
      <w:pPr>
        <w:tabs>
          <w:tab w:val="left" w:pos="3825"/>
        </w:tabs>
      </w:pPr>
      <w:r>
        <w:rPr>
          <w:i/>
          <w:szCs w:val="36"/>
        </w:rPr>
        <w:t>Kohezijski fond</w:t>
      </w:r>
      <w:r>
        <w:rPr>
          <w:szCs w:val="36"/>
        </w:rPr>
        <w:t xml:space="preserve"> je f</w:t>
      </w:r>
      <w:r>
        <w:rPr>
          <w:szCs w:val="36"/>
        </w:rPr>
        <w:t>inancijski mehanizam za financiranje velikih infrastrukturnih projekata u EU na području prometa i zaštite okoliša u svrhu postizanja gospodarske i socijalne kohezije Europske unije te poticanje održivog razvoja.</w:t>
      </w:r>
    </w:p>
    <w:p w:rsidR="008E6E79" w:rsidRDefault="009F7D9A">
      <w:pPr>
        <w:tabs>
          <w:tab w:val="left" w:pos="3825"/>
        </w:tabs>
        <w:rPr>
          <w:szCs w:val="36"/>
        </w:rPr>
      </w:pPr>
      <w:r>
        <w:rPr>
          <w:szCs w:val="36"/>
        </w:rPr>
        <w:t>Na području Primorsko-goranske županije dje</w:t>
      </w:r>
      <w:r>
        <w:rPr>
          <w:szCs w:val="36"/>
        </w:rPr>
        <w:t>luje Regionalna razvojna agencija Primorsko-goranske županije koja predstavlja poveznicu javnog, privatnog i civilnog sektora u izgradnji strategijskih partnerstava kroz prijavu i provedbu projekata koji doprinose podizanju životnog standarda na području Ž</w:t>
      </w:r>
      <w:r>
        <w:rPr>
          <w:szCs w:val="36"/>
        </w:rPr>
        <w:t>upanije. S obzirom da se navedena Agencija bavi poticanjem regionalnog razvoja korištenjem dostupnih fondova EU i ostalih fondova međunarodne zajednice, ovaj Akcijski plan bi trebao biti shvaćen kao prioritetno područje djelovanja te Agencije (kao i u smis</w:t>
      </w:r>
      <w:r>
        <w:rPr>
          <w:szCs w:val="36"/>
        </w:rPr>
        <w:t>lu povezanosti sa ciljevima i prioritetima Županijske razvojne strategije) .</w:t>
      </w:r>
    </w:p>
    <w:p w:rsidR="008E6E79" w:rsidRDefault="009F7D9A">
      <w:pPr>
        <w:tabs>
          <w:tab w:val="left" w:pos="3825"/>
        </w:tabs>
        <w:rPr>
          <w:szCs w:val="36"/>
        </w:rPr>
      </w:pPr>
      <w:r>
        <w:rPr>
          <w:szCs w:val="36"/>
        </w:rPr>
        <w:t>Regionalna razvojna agencija Primorsko- goranske županije će:</w:t>
      </w:r>
    </w:p>
    <w:p w:rsidR="008E6E79" w:rsidRDefault="009F7D9A">
      <w:pPr>
        <w:pStyle w:val="ListParagraph"/>
        <w:numPr>
          <w:ilvl w:val="0"/>
          <w:numId w:val="1"/>
        </w:numPr>
        <w:tabs>
          <w:tab w:val="left" w:pos="3465"/>
        </w:tabs>
        <w:jc w:val="both"/>
        <w:rPr>
          <w:szCs w:val="36"/>
        </w:rPr>
      </w:pPr>
      <w:r>
        <w:rPr>
          <w:szCs w:val="36"/>
        </w:rPr>
        <w:t>Pratiti dinamiku raspisivanja natječaja za dodjelu sredstava prema linijama gore navedenih fondova Europske unije;</w:t>
      </w:r>
    </w:p>
    <w:p w:rsidR="008E6E79" w:rsidRDefault="009F7D9A">
      <w:pPr>
        <w:pStyle w:val="ListParagraph"/>
        <w:numPr>
          <w:ilvl w:val="0"/>
          <w:numId w:val="1"/>
        </w:numPr>
        <w:tabs>
          <w:tab w:val="left" w:pos="3465"/>
        </w:tabs>
        <w:jc w:val="both"/>
        <w:rPr>
          <w:szCs w:val="36"/>
        </w:rPr>
      </w:pPr>
      <w:r>
        <w:rPr>
          <w:szCs w:val="36"/>
        </w:rPr>
        <w:t>Pripremati projektne prijedloge za povlačenje sredstava za Županiju, jedinice lokalne samouprave koje pripadaju geografskom prostoru Županije u skladu sa mjerama ovog Akcijskog plana;</w:t>
      </w:r>
    </w:p>
    <w:p w:rsidR="008E6E79" w:rsidRDefault="009F7D9A">
      <w:pPr>
        <w:pStyle w:val="ListParagraph"/>
        <w:numPr>
          <w:ilvl w:val="0"/>
          <w:numId w:val="1"/>
        </w:numPr>
        <w:tabs>
          <w:tab w:val="left" w:pos="3465"/>
        </w:tabs>
        <w:jc w:val="both"/>
        <w:rPr>
          <w:szCs w:val="36"/>
        </w:rPr>
      </w:pPr>
      <w:r>
        <w:rPr>
          <w:szCs w:val="36"/>
        </w:rPr>
        <w:t>Pomagati organizacijama civilnog društva, a naročito udrugama Roma, u pr</w:t>
      </w:r>
      <w:r>
        <w:rPr>
          <w:szCs w:val="36"/>
        </w:rPr>
        <w:t>ipremanju projekata za financiranje sredstvima Europske unije kada je to primjenjivo kroz navedene fondove; te</w:t>
      </w:r>
    </w:p>
    <w:p w:rsidR="008E6E79" w:rsidRDefault="009F7D9A">
      <w:pPr>
        <w:pStyle w:val="ListParagraph"/>
        <w:numPr>
          <w:ilvl w:val="0"/>
          <w:numId w:val="1"/>
        </w:numPr>
        <w:tabs>
          <w:tab w:val="left" w:pos="3465"/>
        </w:tabs>
        <w:jc w:val="both"/>
        <w:rPr>
          <w:szCs w:val="36"/>
        </w:rPr>
      </w:pPr>
      <w:r>
        <w:rPr>
          <w:szCs w:val="36"/>
        </w:rPr>
        <w:t>Povezivati Županiju i druge pripadajuće jedinice lokalne samouprave s jedinicama centralne vlasti, vodeći računa o tome da Županija i navedene je</w:t>
      </w:r>
      <w:r>
        <w:rPr>
          <w:szCs w:val="36"/>
        </w:rPr>
        <w:t>dinice lokalne samouprave imaju vodstvo nad projektima kojima se koriste sredstva europskih fondova.</w:t>
      </w:r>
    </w:p>
    <w:p w:rsidR="008E6E79" w:rsidRDefault="009F7D9A">
      <w:pPr>
        <w:tabs>
          <w:tab w:val="left" w:pos="3825"/>
        </w:tabs>
      </w:pPr>
      <w:r>
        <w:rPr>
          <w:szCs w:val="36"/>
        </w:rPr>
        <w:t>Primorsko-goranska županija poduzet će potrebne mjere za jačanje kapaciteta i usmjeravanje Agencije prema ostvarivanju mjera ovog Akcijskog plana korištenj</w:t>
      </w:r>
      <w:r>
        <w:rPr>
          <w:szCs w:val="36"/>
        </w:rPr>
        <w:t>em fondova Europske unije.</w:t>
      </w:r>
    </w:p>
    <w:p w:rsidR="008E6E79" w:rsidRDefault="008E6E79">
      <w:pPr>
        <w:tabs>
          <w:tab w:val="left" w:pos="3825"/>
        </w:tabs>
        <w:rPr>
          <w:b/>
          <w:sz w:val="36"/>
        </w:rPr>
      </w:pPr>
    </w:p>
    <w:p w:rsidR="008E6E79" w:rsidRDefault="009F7D9A">
      <w:pPr>
        <w:pStyle w:val="ListParagraph"/>
        <w:numPr>
          <w:ilvl w:val="0"/>
          <w:numId w:val="1"/>
        </w:numPr>
        <w:tabs>
          <w:tab w:val="left" w:pos="3465"/>
        </w:tabs>
        <w:rPr>
          <w:rFonts w:ascii="Arial" w:hAnsi="Arial" w:cs="Arial"/>
          <w:b/>
          <w:sz w:val="24"/>
          <w:szCs w:val="24"/>
        </w:rPr>
      </w:pPr>
      <w:r>
        <w:rPr>
          <w:rFonts w:ascii="Arial" w:hAnsi="Arial" w:cs="Arial"/>
          <w:b/>
          <w:sz w:val="24"/>
          <w:szCs w:val="24"/>
        </w:rPr>
        <w:t>MJERE ZA UKLJUČIVANJE ROMA 2018. – 2019</w:t>
      </w:r>
    </w:p>
    <w:p w:rsidR="008E6E79" w:rsidRDefault="009F7D9A">
      <w:pPr>
        <w:pStyle w:val="ListParagraph"/>
        <w:tabs>
          <w:tab w:val="left" w:pos="3825"/>
        </w:tabs>
        <w:ind w:left="1080"/>
        <w:rPr>
          <w:rFonts w:ascii="Arial" w:hAnsi="Arial" w:cs="Arial"/>
          <w:b/>
          <w:sz w:val="24"/>
          <w:szCs w:val="24"/>
        </w:rPr>
      </w:pPr>
      <w:r>
        <w:rPr>
          <w:rFonts w:ascii="Arial" w:hAnsi="Arial" w:cs="Arial"/>
          <w:b/>
          <w:sz w:val="24"/>
          <w:szCs w:val="24"/>
        </w:rPr>
        <w:t>.</w:t>
      </w:r>
    </w:p>
    <w:p w:rsidR="008E6E79" w:rsidRDefault="009F7D9A">
      <w:pPr>
        <w:tabs>
          <w:tab w:val="left" w:pos="3825"/>
        </w:tabs>
        <w:rPr>
          <w:b/>
          <w:szCs w:val="24"/>
        </w:rPr>
      </w:pPr>
      <w:r>
        <w:rPr>
          <w:b/>
          <w:szCs w:val="24"/>
        </w:rPr>
        <w:t>4.1. Prostorno i komunalno uređenje naselja, stanovanje i zaštita okoliša</w:t>
      </w:r>
    </w:p>
    <w:p w:rsidR="008E6E79" w:rsidRDefault="009F7D9A">
      <w:pPr>
        <w:tabs>
          <w:tab w:val="left" w:pos="3825"/>
        </w:tabs>
      </w:pPr>
      <w:r>
        <w:t xml:space="preserve">Sve aktivnosti kojima se zbog raznih specifičnosti u kojima nije moguće ostvariti prebivanje Roma u zajednici </w:t>
      </w:r>
      <w:r>
        <w:t xml:space="preserve">(naselju) koje su sami odredili doseljenjem, najčešće zbog nemogućnosti legalizacije bespravno izgrađenih objekata ili neadekvatnosti terena, osim uzimanja u obzir financijskih i infrastrukturnih kapaciteta lokalne zajednice, važno je unaprijed osobe koje </w:t>
      </w:r>
      <w:r>
        <w:t xml:space="preserve">se planira preseliti upoznati s planovima preseljenja te voditi računa o njihovim afinitetima i potrebama. Posebno treba imati u vidu višečlane obitelji, starije osobe i osobe s invaliditetom. </w:t>
      </w:r>
    </w:p>
    <w:p w:rsidR="008E6E79" w:rsidRDefault="008E6E79">
      <w:pPr>
        <w:tabs>
          <w:tab w:val="left" w:pos="3825"/>
        </w:tabs>
      </w:pPr>
    </w:p>
    <w:p w:rsidR="008E6E79" w:rsidRDefault="009F7D9A">
      <w:pPr>
        <w:tabs>
          <w:tab w:val="left" w:pos="3825"/>
        </w:tabs>
      </w:pPr>
      <w:r>
        <w:rPr>
          <w:b/>
        </w:rPr>
        <w:t>Opći cilj</w:t>
      </w:r>
      <w:r>
        <w:t>: Povećati životni standard Roma u Primorsko-goransk</w:t>
      </w:r>
      <w:r>
        <w:t>oj županiji</w:t>
      </w:r>
    </w:p>
    <w:p w:rsidR="008E6E79" w:rsidRDefault="009F7D9A">
      <w:pPr>
        <w:tabs>
          <w:tab w:val="left" w:pos="3825"/>
        </w:tabs>
      </w:pPr>
      <w:r>
        <w:rPr>
          <w:b/>
        </w:rPr>
        <w:t>Specifični ciljevi:</w:t>
      </w:r>
    </w:p>
    <w:p w:rsidR="008E6E79" w:rsidRDefault="009F7D9A">
      <w:pPr>
        <w:pStyle w:val="ListParagraph"/>
        <w:numPr>
          <w:ilvl w:val="0"/>
          <w:numId w:val="2"/>
        </w:numPr>
        <w:tabs>
          <w:tab w:val="left" w:pos="3825"/>
        </w:tabs>
        <w:jc w:val="both"/>
      </w:pPr>
      <w:r>
        <w:t>Povećati broj legaliziranih objekata u naseljima romske nacionalne manjine</w:t>
      </w:r>
    </w:p>
    <w:p w:rsidR="008E6E79" w:rsidRDefault="009F7D9A">
      <w:pPr>
        <w:pStyle w:val="ListParagraph"/>
        <w:numPr>
          <w:ilvl w:val="0"/>
          <w:numId w:val="2"/>
        </w:numPr>
        <w:tabs>
          <w:tab w:val="left" w:pos="3825"/>
        </w:tabs>
        <w:jc w:val="both"/>
      </w:pPr>
      <w:r>
        <w:t xml:space="preserve">Izgraditi odgovarajuće stambene objekte </w:t>
      </w:r>
    </w:p>
    <w:p w:rsidR="008E6E79" w:rsidRDefault="009F7D9A">
      <w:pPr>
        <w:pStyle w:val="ListParagraph"/>
        <w:numPr>
          <w:ilvl w:val="0"/>
          <w:numId w:val="2"/>
        </w:numPr>
        <w:tabs>
          <w:tab w:val="left" w:pos="3825"/>
        </w:tabs>
        <w:jc w:val="both"/>
      </w:pPr>
      <w:r>
        <w:t>Povećati dostupnost komunalne infrastrukture, priključaka na električnu i vodoopskrbnu mrežu</w:t>
      </w:r>
    </w:p>
    <w:p w:rsidR="008E6E79" w:rsidRDefault="009F7D9A">
      <w:pPr>
        <w:pStyle w:val="ListParagraph"/>
        <w:numPr>
          <w:ilvl w:val="0"/>
          <w:numId w:val="2"/>
        </w:numPr>
        <w:tabs>
          <w:tab w:val="left" w:pos="3825"/>
        </w:tabs>
        <w:jc w:val="both"/>
      </w:pPr>
      <w:r>
        <w:t>Izgraditi urban</w:t>
      </w:r>
      <w:r>
        <w:t>a obilježja u naselju</w:t>
      </w:r>
    </w:p>
    <w:p w:rsidR="008E6E79" w:rsidRDefault="009F7D9A">
      <w:pPr>
        <w:pStyle w:val="ListParagraph"/>
        <w:numPr>
          <w:ilvl w:val="0"/>
          <w:numId w:val="2"/>
        </w:numPr>
        <w:tabs>
          <w:tab w:val="left" w:pos="3825"/>
        </w:tabs>
        <w:jc w:val="both"/>
      </w:pPr>
      <w:r>
        <w:t>Spriječiti ilegalno proširenje naselja</w:t>
      </w:r>
    </w:p>
    <w:p w:rsidR="008E6E79" w:rsidRDefault="008E6E79">
      <w:pPr>
        <w:pStyle w:val="ListParagraph"/>
        <w:tabs>
          <w:tab w:val="left" w:pos="3825"/>
        </w:tabs>
        <w:jc w:val="both"/>
      </w:pPr>
    </w:p>
    <w:p w:rsidR="008E6E79" w:rsidRDefault="009F7D9A">
      <w:pPr>
        <w:tabs>
          <w:tab w:val="left" w:pos="3825"/>
        </w:tabs>
        <w:jc w:val="center"/>
        <w:rPr>
          <w:b/>
          <w:szCs w:val="24"/>
        </w:rPr>
      </w:pPr>
      <w:r>
        <w:rPr>
          <w:b/>
          <w:szCs w:val="24"/>
        </w:rPr>
        <w:t>MJERE I AKTIVNOSTI</w:t>
      </w:r>
    </w:p>
    <w:p w:rsidR="008E6E79" w:rsidRDefault="009F7D9A">
      <w:pPr>
        <w:tabs>
          <w:tab w:val="left" w:pos="3825"/>
        </w:tabs>
        <w:rPr>
          <w:b/>
        </w:rPr>
      </w:pPr>
      <w:r>
        <w:rPr>
          <w:b/>
        </w:rPr>
        <w:t>4.1.1. Povećanje prostorne i komunalne uređenosti naselja, osiguravanje zadovoljavajućeg životnog standarda i zaštita okoliša u stambenoj zoni</w:t>
      </w:r>
    </w:p>
    <w:tbl>
      <w:tblPr>
        <w:tblW w:w="9180" w:type="dxa"/>
        <w:tblCellMar>
          <w:left w:w="10" w:type="dxa"/>
          <w:right w:w="10" w:type="dxa"/>
        </w:tblCellMar>
        <w:tblLook w:val="0000" w:firstRow="0" w:lastRow="0" w:firstColumn="0" w:lastColumn="0" w:noHBand="0" w:noVBand="0"/>
      </w:tblPr>
      <w:tblGrid>
        <w:gridCol w:w="1599"/>
        <w:gridCol w:w="1583"/>
        <w:gridCol w:w="1500"/>
        <w:gridCol w:w="1632"/>
        <w:gridCol w:w="1305"/>
        <w:gridCol w:w="1561"/>
      </w:tblGrid>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8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w:t>
            </w:r>
            <w:r>
              <w:rPr>
                <w:rFonts w:eastAsia="Calibri"/>
                <w:b/>
                <w:sz w:val="22"/>
                <w:szCs w:val="22"/>
              </w:rPr>
              <w:t>a tijela</w:t>
            </w:r>
          </w:p>
        </w:tc>
        <w:tc>
          <w:tcPr>
            <w:tcW w:w="1500"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632"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305"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61"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Izrada prostorne analize naselja u Primorsko-goranskoj županiji s aktualnim stanjem</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i/>
                <w:szCs w:val="22"/>
              </w:rPr>
            </w:pPr>
            <w:r>
              <w:rPr>
                <w:rFonts w:eastAsia="Calibri"/>
                <w: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i/>
                <w:szCs w:val="22"/>
              </w:rPr>
            </w:pPr>
            <w:r>
              <w:rPr>
                <w:rFonts w:eastAsia="Calibri"/>
                <w:i/>
                <w:sz w:val="22"/>
                <w:szCs w:val="22"/>
              </w:rPr>
              <w:t>Provedbeno tijelo:</w:t>
            </w:r>
          </w:p>
          <w:p w:rsidR="008E6E79" w:rsidRDefault="009F7D9A">
            <w:pPr>
              <w:rPr>
                <w:rFonts w:eastAsia="Calibri"/>
                <w:szCs w:val="22"/>
              </w:rPr>
            </w:pPr>
            <w:r>
              <w:rPr>
                <w:rFonts w:eastAsia="Calibri"/>
                <w:sz w:val="22"/>
                <w:szCs w:val="22"/>
              </w:rPr>
              <w:t xml:space="preserve">JU Zavod za prostorno </w:t>
            </w:r>
            <w:r>
              <w:rPr>
                <w:rFonts w:eastAsia="Calibri"/>
                <w:sz w:val="22"/>
                <w:szCs w:val="22"/>
              </w:rPr>
              <w:t>uređenje Primorsko-goranske županije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za 2018. i 2019. godinu</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Dopunjena prostorna analiza sa podacima o broju bespravno izgrađenih objekata, broju objekata koji su primjereni za stanovanje i broju objekata koji se mogu legalizirati.</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 201</w:t>
            </w:r>
            <w:r>
              <w:rPr>
                <w:rFonts w:eastAsia="Calibri"/>
                <w:sz w:val="22"/>
                <w:szCs w:val="22"/>
              </w:rPr>
              <w:t>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Broj gradova i općina kojima je </w:t>
            </w:r>
            <w:proofErr w:type="spellStart"/>
            <w:r>
              <w:rPr>
                <w:rFonts w:eastAsia="Calibri"/>
                <w:sz w:val="22"/>
                <w:szCs w:val="22"/>
              </w:rPr>
              <w:t>diseminirana</w:t>
            </w:r>
            <w:proofErr w:type="spellEnd"/>
            <w:r>
              <w:rPr>
                <w:rFonts w:eastAsia="Calibri"/>
                <w:sz w:val="22"/>
                <w:szCs w:val="22"/>
              </w:rPr>
              <w:t xml:space="preserve"> analiza.</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Geodetska parcelacija i formiranje parcela u područjima nelegalno izgrađenih objekata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Gradovi i općine s naseljima Roma</w:t>
            </w:r>
          </w:p>
          <w:p w:rsidR="008E6E79" w:rsidRDefault="008E6E79">
            <w:pPr>
              <w:rPr>
                <w:rFonts w:eastAsia="Calibri"/>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Gradski i </w:t>
            </w:r>
            <w:r>
              <w:rPr>
                <w:rFonts w:eastAsia="Calibri"/>
                <w:sz w:val="22"/>
                <w:szCs w:val="22"/>
              </w:rPr>
              <w:t>općinski proračuni za 2018. i 2019. godinu</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Izrađena geodetska parcelacija i formiran prostorni obuhvat naselja u gradovima i općinama.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romskog stanovništva kojima su dostavljene informacije o geodetskoj parcelaciji naselja.</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Ishođenje pr</w:t>
            </w:r>
            <w:r>
              <w:rPr>
                <w:rFonts w:eastAsia="Calibri"/>
                <w:sz w:val="22"/>
                <w:szCs w:val="22"/>
              </w:rPr>
              <w:t>ava vlasništva ili prava građenja na parcelama u državnom vlasništvu</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Gradovi i općine na području županije</w:t>
            </w:r>
          </w:p>
          <w:p w:rsidR="008E6E79" w:rsidRDefault="008E6E79">
            <w:pPr>
              <w:rPr>
                <w:rFonts w:eastAsia="Calibri"/>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 i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 xml:space="preserve">Postojeći imovinski resursi </w:t>
            </w:r>
            <w:r>
              <w:rPr>
                <w:rFonts w:eastAsia="Calibri"/>
                <w:sz w:val="22"/>
                <w:szCs w:val="22"/>
              </w:rPr>
              <w:t>Republike Hrvatske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Gradovi i općine</w:t>
            </w:r>
          </w:p>
          <w:p w:rsidR="008E6E79" w:rsidRDefault="009F7D9A">
            <w:pPr>
              <w:rPr>
                <w:rFonts w:eastAsia="Calibri"/>
                <w:szCs w:val="22"/>
              </w:rPr>
            </w:pPr>
            <w:proofErr w:type="spellStart"/>
            <w:r>
              <w:rPr>
                <w:rFonts w:eastAsia="Calibri"/>
                <w:sz w:val="22"/>
                <w:szCs w:val="22"/>
              </w:rPr>
              <w:t>ishodovali</w:t>
            </w:r>
            <w:proofErr w:type="spellEnd"/>
            <w:r>
              <w:rPr>
                <w:rFonts w:eastAsia="Calibri"/>
                <w:sz w:val="22"/>
                <w:szCs w:val="22"/>
              </w:rPr>
              <w:t xml:space="preserve"> pravo vlasništva ili građenja na parcelama u državnom vlasništvu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kojima je državno zemljište dano u vlasništvo ili kojima je dano pravo građenja na parcelama u državnom vlasništvu.</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proofErr w:type="spellStart"/>
            <w:r>
              <w:rPr>
                <w:rFonts w:eastAsia="Calibri"/>
                <w:sz w:val="22"/>
                <w:szCs w:val="22"/>
              </w:rPr>
              <w:t>Izmještanje</w:t>
            </w:r>
            <w:proofErr w:type="spellEnd"/>
            <w:r>
              <w:rPr>
                <w:rFonts w:eastAsia="Calibri"/>
                <w:sz w:val="22"/>
                <w:szCs w:val="22"/>
              </w:rPr>
              <w:t xml:space="preserve"> stanovništva iz naselja Brod na Kupi</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Grad Delnice</w:t>
            </w:r>
          </w:p>
          <w:p w:rsidR="008E6E79" w:rsidRDefault="008E6E79">
            <w:pPr>
              <w:rPr>
                <w:rFonts w:eastAsia="Calibri"/>
                <w:szCs w:val="22"/>
              </w:rPr>
            </w:pPr>
          </w:p>
          <w:p w:rsidR="008E6E79" w:rsidRDefault="009F7D9A">
            <w:r>
              <w:rPr>
                <w:rFonts w:eastAsia="Calibri"/>
                <w:i/>
                <w:sz w:val="22"/>
                <w:szCs w:val="22"/>
              </w:rPr>
              <w:t>Provedbeno tijelo</w:t>
            </w:r>
            <w:r>
              <w:rPr>
                <w:rFonts w:eastAsia="Calibri"/>
                <w:sz w:val="22"/>
                <w:szCs w:val="22"/>
              </w:rPr>
              <w:t>:</w:t>
            </w:r>
          </w:p>
          <w:p w:rsidR="008E6E79" w:rsidRDefault="009F7D9A">
            <w:pPr>
              <w:rPr>
                <w:rFonts w:eastAsia="Calibri"/>
                <w:szCs w:val="22"/>
              </w:rPr>
            </w:pPr>
            <w:r>
              <w:rPr>
                <w:rFonts w:eastAsia="Calibri"/>
                <w:sz w:val="22"/>
                <w:szCs w:val="22"/>
              </w:rPr>
              <w:t>Odgovarajući upravni odjeli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proračun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Postojeći imovinski resursi Grada Delnica.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Stanovništvo iz naselja izmješteno u stanove i kuće</w:t>
            </w:r>
            <w:r>
              <w:rPr>
                <w:rFonts w:eastAsia="Calibri"/>
                <w:sz w:val="22"/>
                <w:szCs w:val="22"/>
              </w:rPr>
              <w:t xml:space="preserve"> za socijalne potrebe u gradu Delnice.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izmještenih u stanove i kuće za socijalne potrebe na području grada Delnica</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proofErr w:type="spellStart"/>
            <w:r>
              <w:rPr>
                <w:rFonts w:eastAsia="Calibri"/>
                <w:sz w:val="22"/>
                <w:szCs w:val="22"/>
              </w:rPr>
              <w:t>Izmještanje</w:t>
            </w:r>
            <w:proofErr w:type="spellEnd"/>
            <w:r>
              <w:rPr>
                <w:rFonts w:eastAsia="Calibri"/>
                <w:sz w:val="22"/>
                <w:szCs w:val="22"/>
              </w:rPr>
              <w:t xml:space="preserve"> stanovništva iz naselja na području Rijeke u kojima nije moguća legalizacija objekata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 xml:space="preserve">Grad </w:t>
            </w:r>
            <w:r>
              <w:rPr>
                <w:rFonts w:eastAsia="Calibri"/>
                <w:sz w:val="22"/>
                <w:szCs w:val="22"/>
              </w:rPr>
              <w:t>Rijeka</w:t>
            </w:r>
          </w:p>
          <w:p w:rsidR="008E6E79" w:rsidRDefault="008E6E79">
            <w:pPr>
              <w:rPr>
                <w:rFonts w:eastAsia="Calibri"/>
                <w:szCs w:val="22"/>
              </w:rPr>
            </w:pPr>
          </w:p>
          <w:p w:rsidR="008E6E79" w:rsidRDefault="009F7D9A">
            <w:r>
              <w:rPr>
                <w:rFonts w:eastAsia="Calibri"/>
                <w:i/>
                <w:sz w:val="22"/>
                <w:szCs w:val="22"/>
              </w:rPr>
              <w:t>Provedbeno tijelo</w:t>
            </w:r>
            <w:r>
              <w:rPr>
                <w:rFonts w:eastAsia="Calibri"/>
                <w:sz w:val="22"/>
                <w:szCs w:val="22"/>
              </w:rPr>
              <w:t>:</w:t>
            </w:r>
          </w:p>
          <w:p w:rsidR="008E6E79" w:rsidRDefault="009F7D9A">
            <w:pPr>
              <w:rPr>
                <w:rFonts w:eastAsia="Calibri"/>
                <w:szCs w:val="22"/>
              </w:rPr>
            </w:pPr>
            <w:r>
              <w:rPr>
                <w:rFonts w:eastAsia="Calibri"/>
                <w:sz w:val="22"/>
                <w:szCs w:val="22"/>
              </w:rPr>
              <w:t>Odgovarajući upravni odjeli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proračun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Postojeći imovinski resursi Grada Rijeke.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Stanovništvo iz naselja izmješteno u stanove i kuće za socijalne potrebe u gradu Rijeka.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iz</w:t>
            </w:r>
            <w:r>
              <w:rPr>
                <w:rFonts w:eastAsia="Calibri"/>
                <w:sz w:val="22"/>
                <w:szCs w:val="22"/>
              </w:rPr>
              <w:t>mještenih u stanove i kuće za socijalne potrebe na području grada Rijeke.</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Stambeno zbrinjavanje stanovništva u naselju Grada Crikvenice.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 Crikvenica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Proračun Grada Crikvenice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Stanovništvo iz naselja izmješteno u stanove i kuće za socijalne potrebe u </w:t>
            </w:r>
            <w:r>
              <w:rPr>
                <w:rFonts w:eastAsia="Calibri"/>
                <w:sz w:val="22"/>
                <w:szCs w:val="22"/>
              </w:rPr>
              <w:t>gradu Crikvenici.</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izmještenih u stanove i kuće za socijalne potrebe na području grada Crikvenice.</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Dogradnja komunalne infrastrukture u naseljima na području Grada Rijeke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 Rijeka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Odgovarajući uprav</w:t>
            </w:r>
            <w:r>
              <w:rPr>
                <w:rFonts w:eastAsia="Calibri"/>
                <w:sz w:val="22"/>
                <w:szCs w:val="22"/>
              </w:rPr>
              <w:t>ni odjel</w:t>
            </w:r>
          </w:p>
          <w:p w:rsidR="008E6E79" w:rsidRDefault="008E6E79">
            <w:pPr>
              <w:rPr>
                <w:rFonts w:eastAsia="Calibri"/>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proračun za 2018.. i 2019. godinu</w:t>
            </w:r>
          </w:p>
          <w:p w:rsidR="008E6E79" w:rsidRDefault="008E6E79">
            <w:pPr>
              <w:rPr>
                <w:rFonts w:eastAsia="Calibri"/>
                <w:szCs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Objekti u naselju priključeni na infrastrukturu.</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objekata priključenih na infrastrukturu.</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Zaustavljanje nelegalne gradnje u naseljima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i/>
                <w:sz w:val="22"/>
                <w:szCs w:val="22"/>
              </w:rPr>
              <w:t>Nositelj</w:t>
            </w:r>
            <w:r>
              <w:rPr>
                <w:rFonts w:eastAsia="Calibri"/>
                <w:sz w:val="22"/>
                <w:szCs w:val="22"/>
              </w:rPr>
              <w:t>:</w:t>
            </w:r>
          </w:p>
          <w:p w:rsidR="008E6E79" w:rsidRDefault="009F7D9A">
            <w:pPr>
              <w:rPr>
                <w:rFonts w:eastAsia="Calibri"/>
                <w:szCs w:val="22"/>
              </w:rPr>
            </w:pPr>
            <w:r>
              <w:rPr>
                <w:rFonts w:eastAsia="Calibri"/>
                <w:sz w:val="22"/>
                <w:szCs w:val="22"/>
              </w:rPr>
              <w:t>Nadležno ministarstvo</w:t>
            </w:r>
          </w:p>
          <w:p w:rsidR="008E6E79" w:rsidRDefault="008E6E79">
            <w:pPr>
              <w:rPr>
                <w:rFonts w:eastAsia="Calibri"/>
                <w:szCs w:val="22"/>
              </w:rPr>
            </w:pPr>
          </w:p>
          <w:p w:rsidR="008E6E79" w:rsidRDefault="009F7D9A">
            <w:r>
              <w:rPr>
                <w:rFonts w:eastAsia="Calibri"/>
                <w:i/>
                <w:sz w:val="22"/>
                <w:szCs w:val="22"/>
              </w:rPr>
              <w:t xml:space="preserve">Provedbena </w:t>
            </w:r>
            <w:r>
              <w:rPr>
                <w:rFonts w:eastAsia="Calibri"/>
                <w:i/>
                <w:sz w:val="22"/>
                <w:szCs w:val="22"/>
              </w:rPr>
              <w:t>tijela</w:t>
            </w:r>
            <w:r>
              <w:rPr>
                <w:rFonts w:eastAsia="Calibri"/>
                <w:sz w:val="22"/>
                <w:szCs w:val="22"/>
              </w:rPr>
              <w:t>:</w:t>
            </w:r>
          </w:p>
          <w:p w:rsidR="008E6E79" w:rsidRDefault="009F7D9A">
            <w:pPr>
              <w:rPr>
                <w:rFonts w:eastAsia="Calibri"/>
                <w:szCs w:val="22"/>
              </w:rPr>
            </w:pPr>
            <w:r>
              <w:rPr>
                <w:rFonts w:eastAsia="Calibri"/>
                <w:sz w:val="22"/>
                <w:szCs w:val="22"/>
              </w:rPr>
              <w:t>Nadležna inspekcijska služba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Državni  proračun za 2018. i 2019.</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Zaustavljeno nelegalno proširivanje naselja.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objekata za koje je spriječena nelegalna gradnja; broj srušenih neuseljenih objekata</w:t>
            </w:r>
          </w:p>
        </w:tc>
      </w:tr>
      <w:tr w:rsidR="008E6E79">
        <w:tblPrEx>
          <w:tblCellMar>
            <w:top w:w="0" w:type="dxa"/>
            <w:bottom w:w="0" w:type="dxa"/>
          </w:tblCellMar>
        </w:tblPrEx>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Gospodarenje otpadom: osiguravanje</w:t>
            </w:r>
            <w:r>
              <w:rPr>
                <w:rFonts w:eastAsia="Calibri"/>
                <w:sz w:val="22"/>
                <w:szCs w:val="22"/>
              </w:rPr>
              <w:t xml:space="preserve"> redovnog odvoza komunalnog  i glomaznog otpada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r>
              <w:rPr>
                <w:rFonts w:eastAsia="Calibri"/>
                <w:sz w:val="22"/>
                <w:szCs w:val="22"/>
              </w:rPr>
              <w:t>Odgovarajući upravni odjeli po gradovima i općinama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Povećani higijenski standardi naselja romske nacionalne manjin</w:t>
            </w:r>
            <w:r>
              <w:rPr>
                <w:rFonts w:eastAsia="Calibri"/>
                <w:sz w:val="22"/>
                <w:szCs w:val="22"/>
              </w:rPr>
              <w:t>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r>
              <w:rPr>
                <w:rFonts w:eastAsia="Calibri"/>
                <w:sz w:val="22"/>
                <w:szCs w:val="22"/>
              </w:rPr>
              <w:t>2018. – 2019.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Količina  odvezenog otpada;</w:t>
            </w:r>
          </w:p>
          <w:p w:rsidR="008E6E79" w:rsidRDefault="009F7D9A">
            <w:pPr>
              <w:rPr>
                <w:rFonts w:eastAsia="Calibri"/>
                <w:szCs w:val="22"/>
              </w:rPr>
            </w:pPr>
            <w:r>
              <w:rPr>
                <w:rFonts w:eastAsia="Calibri"/>
                <w:sz w:val="22"/>
                <w:szCs w:val="22"/>
              </w:rPr>
              <w:t>Broj periodičnog odvoženja glomaznog otpada;</w:t>
            </w:r>
          </w:p>
          <w:p w:rsidR="008E6E79" w:rsidRDefault="009F7D9A">
            <w:pPr>
              <w:rPr>
                <w:rFonts w:eastAsia="Calibri"/>
                <w:szCs w:val="22"/>
              </w:rPr>
            </w:pPr>
            <w:r>
              <w:rPr>
                <w:rFonts w:eastAsia="Calibri"/>
                <w:sz w:val="22"/>
                <w:szCs w:val="22"/>
              </w:rPr>
              <w:t>Broj kanti za smeće po broju stanovnika u naselju;</w:t>
            </w:r>
          </w:p>
          <w:p w:rsidR="008E6E79" w:rsidRDefault="009F7D9A">
            <w:pPr>
              <w:rPr>
                <w:rFonts w:eastAsia="Calibri"/>
                <w:szCs w:val="22"/>
              </w:rPr>
            </w:pPr>
            <w:r>
              <w:rPr>
                <w:rFonts w:eastAsia="Calibri"/>
                <w:sz w:val="22"/>
                <w:szCs w:val="22"/>
              </w:rPr>
              <w:t>Učestalost odvoza smeća.</w:t>
            </w:r>
          </w:p>
        </w:tc>
      </w:tr>
    </w:tbl>
    <w:p w:rsidR="008E6E79" w:rsidRDefault="009F7D9A">
      <w:pPr>
        <w:tabs>
          <w:tab w:val="left" w:pos="3825"/>
        </w:tabs>
        <w:rPr>
          <w:b/>
          <w:szCs w:val="24"/>
        </w:rPr>
      </w:pPr>
      <w:r>
        <w:rPr>
          <w:b/>
          <w:szCs w:val="24"/>
        </w:rPr>
        <w:t>4.2. Suzbijanje siromaštva i socijalna skrb</w:t>
      </w:r>
    </w:p>
    <w:p w:rsidR="008E6E79" w:rsidRDefault="009F7D9A">
      <w:pPr>
        <w:tabs>
          <w:tab w:val="left" w:pos="3825"/>
        </w:tabs>
      </w:pPr>
      <w:r>
        <w:rPr>
          <w:b/>
        </w:rPr>
        <w:t>Opći cilj</w:t>
      </w:r>
      <w:r>
        <w:t xml:space="preserve">: Smanjiti izloženost Roma </w:t>
      </w:r>
      <w:r>
        <w:t>siromaštvu</w:t>
      </w:r>
    </w:p>
    <w:p w:rsidR="008E6E79" w:rsidRDefault="009F7D9A">
      <w:pPr>
        <w:tabs>
          <w:tab w:val="left" w:pos="3825"/>
        </w:tabs>
      </w:pPr>
      <w:r>
        <w:rPr>
          <w:b/>
        </w:rPr>
        <w:t>Specifični ciljevi:</w:t>
      </w:r>
    </w:p>
    <w:p w:rsidR="008E6E79" w:rsidRDefault="009F7D9A">
      <w:pPr>
        <w:pStyle w:val="ListParagraph"/>
        <w:numPr>
          <w:ilvl w:val="0"/>
          <w:numId w:val="3"/>
        </w:numPr>
        <w:tabs>
          <w:tab w:val="left" w:pos="3825"/>
        </w:tabs>
        <w:jc w:val="both"/>
      </w:pPr>
      <w:r>
        <w:t>Povećanje uključenosti Roma u tržište rada</w:t>
      </w:r>
    </w:p>
    <w:p w:rsidR="008E6E79" w:rsidRDefault="009F7D9A">
      <w:pPr>
        <w:pStyle w:val="ListParagraph"/>
        <w:numPr>
          <w:ilvl w:val="0"/>
          <w:numId w:val="3"/>
        </w:numPr>
        <w:tabs>
          <w:tab w:val="left" w:pos="3825"/>
        </w:tabs>
        <w:jc w:val="both"/>
      </w:pPr>
      <w:r>
        <w:t>Povećanje socijalne zaštite Roma na područjima jedinica lokalne samouprave</w:t>
      </w:r>
    </w:p>
    <w:p w:rsidR="008E6E79" w:rsidRDefault="008E6E79">
      <w:pPr>
        <w:tabs>
          <w:tab w:val="left" w:pos="3825"/>
        </w:tabs>
      </w:pPr>
    </w:p>
    <w:p w:rsidR="008E6E79" w:rsidRDefault="009F7D9A">
      <w:pPr>
        <w:tabs>
          <w:tab w:val="left" w:pos="3825"/>
        </w:tabs>
        <w:jc w:val="center"/>
        <w:rPr>
          <w:b/>
          <w:szCs w:val="24"/>
        </w:rPr>
      </w:pPr>
      <w:r>
        <w:rPr>
          <w:b/>
          <w:szCs w:val="24"/>
        </w:rPr>
        <w:t>MJERE I AKTIVNOSTI</w:t>
      </w:r>
    </w:p>
    <w:p w:rsidR="008E6E79" w:rsidRDefault="009F7D9A">
      <w:pPr>
        <w:tabs>
          <w:tab w:val="left" w:pos="3825"/>
        </w:tabs>
        <w:rPr>
          <w:b/>
        </w:rPr>
      </w:pPr>
      <w:r>
        <w:rPr>
          <w:b/>
        </w:rPr>
        <w:t>4.2.1. Povećanje razine gospodarske aktivnosti i zapošljavanja romske populacije</w:t>
      </w:r>
    </w:p>
    <w:p w:rsidR="008E6E79" w:rsidRDefault="009F7D9A">
      <w:pPr>
        <w:tabs>
          <w:tab w:val="left" w:pos="3825"/>
        </w:tabs>
      </w:pPr>
      <w:r>
        <w:t>Iako j</w:t>
      </w:r>
      <w:r>
        <w:t>e ocjena stanja u ovom Akcijskom planu pokazala visoku iskorištenost mjera javnih radova kroz politiku Hrvatskog zavoda za zapošljavanje, ta je mjera izostavljena zbog njezinog privremenog karaktera i nedostatka održivosti. Veću pozornost treba posvetiti m</w:t>
      </w:r>
      <w:r>
        <w:t>jerama nadalje tabelarno navedenim kako bi se povećala razina gospodarske aktivnosti Roma i mogućnost njihovog zapošljavanja.</w:t>
      </w:r>
    </w:p>
    <w:tbl>
      <w:tblPr>
        <w:tblW w:w="9356" w:type="dxa"/>
        <w:tblCellMar>
          <w:left w:w="10" w:type="dxa"/>
          <w:right w:w="10" w:type="dxa"/>
        </w:tblCellMar>
        <w:tblLook w:val="0000" w:firstRow="0" w:lastRow="0" w:firstColumn="0" w:lastColumn="0" w:noHBand="0" w:noVBand="0"/>
      </w:tblPr>
      <w:tblGrid>
        <w:gridCol w:w="1562"/>
        <w:gridCol w:w="1593"/>
        <w:gridCol w:w="1550"/>
        <w:gridCol w:w="1647"/>
        <w:gridCol w:w="1308"/>
        <w:gridCol w:w="1696"/>
      </w:tblGrid>
      <w:tr w:rsidR="008E6E79">
        <w:tblPrEx>
          <w:tblCellMar>
            <w:top w:w="0" w:type="dxa"/>
            <w:bottom w:w="0" w:type="dxa"/>
          </w:tblCellMar>
        </w:tblPrEx>
        <w:tc>
          <w:tcPr>
            <w:tcW w:w="1562"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9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550"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647"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30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696"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Informiranje, edukacija i savjetovanje Roma o mogućnosti zapošljavanja</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Hrvatski zavod za zapošljavanje</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Provedbeno tijelo:</w:t>
            </w:r>
          </w:p>
          <w:p w:rsidR="008E6E79" w:rsidRDefault="009F7D9A">
            <w:pPr>
              <w:rPr>
                <w:rFonts w:eastAsia="Calibri"/>
                <w:szCs w:val="22"/>
              </w:rPr>
            </w:pPr>
            <w:r>
              <w:rPr>
                <w:rFonts w:eastAsia="Calibri"/>
                <w:sz w:val="22"/>
                <w:szCs w:val="22"/>
              </w:rPr>
              <w:t>Područni uredi HZZ-a</w:t>
            </w:r>
          </w:p>
          <w:p w:rsidR="008E6E79" w:rsidRDefault="008E6E79">
            <w:pPr>
              <w:rPr>
                <w:rFonts w:eastAsia="Calibri"/>
                <w:szCs w:val="22"/>
              </w:rPr>
            </w:pP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organizacije:</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w:t>
            </w:r>
            <w:r>
              <w:rPr>
                <w:rFonts w:eastAsia="Calibri"/>
                <w:sz w:val="22"/>
                <w:szCs w:val="22"/>
              </w:rPr>
              <w:t xml:space="preserve"> civilnog društva.</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Državni proračun – redovna djelatnost Hrvatskog zavoda za zapošljavanje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Županijski i gradski proračuni za programe i projekte organizacija civilnog društva.</w:t>
            </w:r>
          </w:p>
          <w:p w:rsidR="008E6E79" w:rsidRDefault="008E6E79">
            <w:pPr>
              <w:rPr>
                <w:rFonts w:eastAsia="Calibri"/>
                <w:szCs w:val="22"/>
              </w:rPr>
            </w:pPr>
          </w:p>
          <w:p w:rsidR="008E6E79" w:rsidRDefault="009F7D9A">
            <w:pPr>
              <w:rPr>
                <w:rFonts w:eastAsia="Calibri"/>
                <w:szCs w:val="22"/>
              </w:rPr>
            </w:pPr>
            <w:r>
              <w:rPr>
                <w:rFonts w:eastAsia="Calibri"/>
                <w:sz w:val="22"/>
                <w:szCs w:val="22"/>
              </w:rPr>
              <w:t>Resursi Europske unije.</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 broj Roma obuhvaćen a</w:t>
            </w:r>
            <w:r>
              <w:rPr>
                <w:rFonts w:eastAsia="Calibri"/>
                <w:sz w:val="22"/>
                <w:szCs w:val="22"/>
              </w:rPr>
              <w:t>ktivnostima informiranja, edukacije i savjetovanja o mogućnostima zapošljavanja.</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Roma direktnih korisnika;</w:t>
            </w:r>
          </w:p>
          <w:p w:rsidR="008E6E79" w:rsidRDefault="009F7D9A">
            <w:pPr>
              <w:rPr>
                <w:rFonts w:eastAsia="Calibri"/>
                <w:szCs w:val="22"/>
              </w:rPr>
            </w:pPr>
            <w:r>
              <w:rPr>
                <w:rFonts w:eastAsia="Calibri"/>
                <w:sz w:val="22"/>
                <w:szCs w:val="22"/>
              </w:rPr>
              <w:t>Broj potpora organizacijama civilnog društva;</w:t>
            </w:r>
          </w:p>
          <w:p w:rsidR="008E6E79" w:rsidRDefault="009F7D9A">
            <w:pPr>
              <w:rPr>
                <w:rFonts w:eastAsia="Calibri"/>
                <w:szCs w:val="22"/>
              </w:rPr>
            </w:pPr>
            <w:r>
              <w:rPr>
                <w:rFonts w:eastAsia="Calibri"/>
                <w:sz w:val="22"/>
                <w:szCs w:val="22"/>
              </w:rPr>
              <w:t>Iznos potpora organizacijama civilnog društva;</w:t>
            </w:r>
          </w:p>
          <w:p w:rsidR="008E6E79" w:rsidRDefault="009F7D9A">
            <w:pPr>
              <w:rPr>
                <w:rFonts w:eastAsia="Calibri"/>
                <w:szCs w:val="22"/>
              </w:rPr>
            </w:pPr>
            <w:r>
              <w:rPr>
                <w:rFonts w:eastAsia="Calibri"/>
                <w:sz w:val="22"/>
                <w:szCs w:val="22"/>
              </w:rPr>
              <w:t>Količina podijeljenog informativnog i</w:t>
            </w:r>
            <w:r>
              <w:rPr>
                <w:rFonts w:eastAsia="Calibri"/>
                <w:sz w:val="22"/>
                <w:szCs w:val="22"/>
              </w:rPr>
              <w:t xml:space="preserve"> edukativnog materijala.</w:t>
            </w:r>
          </w:p>
        </w:tc>
      </w:tr>
      <w:tr w:rsidR="008E6E79">
        <w:tblPrEx>
          <w:tblCellMar>
            <w:top w:w="0" w:type="dxa"/>
            <w:bottom w:w="0" w:type="dxa"/>
          </w:tblCellMar>
        </w:tblPrEx>
        <w:tc>
          <w:tcPr>
            <w:tcW w:w="1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Informiranje poslodavaca o mjerama zapošljavanja Roma te senzibilizacija poslodavaca u cilju smanjenja predrasuda prema Romima.</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Područni ured HZZ-a</w:t>
            </w:r>
          </w:p>
          <w:p w:rsidR="008E6E79" w:rsidRDefault="008E6E79">
            <w:pPr>
              <w:rPr>
                <w:rFonts w:eastAsia="Calibri"/>
                <w:szCs w:val="22"/>
              </w:rPr>
            </w:pP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organizacije:</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w:t>
            </w:r>
          </w:p>
          <w:p w:rsidR="008E6E79" w:rsidRDefault="009F7D9A">
            <w:pPr>
              <w:rPr>
                <w:rFonts w:eastAsia="Calibri"/>
                <w:szCs w:val="22"/>
              </w:rPr>
            </w:pPr>
            <w:r>
              <w:rPr>
                <w:rFonts w:eastAsia="Calibri"/>
                <w:sz w:val="22"/>
                <w:szCs w:val="22"/>
              </w:rPr>
              <w:t>Organizacije civilnog društva.</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 redovna djelatnost Hrvatskog zavoda za zapošljavanje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 xml:space="preserve">Resursi Europske </w:t>
            </w:r>
            <w:r>
              <w:rPr>
                <w:rFonts w:eastAsia="Calibri"/>
                <w:sz w:val="22"/>
                <w:szCs w:val="22"/>
              </w:rPr>
              <w:t>unije.</w:t>
            </w:r>
          </w:p>
          <w:p w:rsidR="008E6E79" w:rsidRDefault="008E6E79">
            <w:pPr>
              <w:rPr>
                <w:rFonts w:eastAsia="Calibr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Povećan broj poslodavaca koji su spremni zaposliti pripadnike romske nacionalne manjine.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poslodavaca obuhvaćenih aktivnostima; broj Roma koji su se uspjeli zaposliti;</w:t>
            </w:r>
          </w:p>
          <w:p w:rsidR="008E6E79" w:rsidRDefault="009F7D9A">
            <w:pPr>
              <w:rPr>
                <w:rFonts w:eastAsia="Calibri"/>
                <w:szCs w:val="22"/>
              </w:rPr>
            </w:pPr>
            <w:r>
              <w:rPr>
                <w:rFonts w:eastAsia="Calibri"/>
                <w:sz w:val="22"/>
                <w:szCs w:val="22"/>
              </w:rPr>
              <w:t>Broj potpora organizacijama civilnog društva; Iznos potpora o</w:t>
            </w:r>
            <w:r>
              <w:rPr>
                <w:rFonts w:eastAsia="Calibri"/>
                <w:sz w:val="22"/>
                <w:szCs w:val="22"/>
              </w:rPr>
              <w:t>rganizacijama civilnog društva;</w:t>
            </w:r>
          </w:p>
          <w:p w:rsidR="008E6E79" w:rsidRDefault="009F7D9A">
            <w:pPr>
              <w:rPr>
                <w:rFonts w:eastAsia="Calibri"/>
                <w:szCs w:val="22"/>
              </w:rPr>
            </w:pPr>
            <w:r>
              <w:rPr>
                <w:rFonts w:eastAsia="Calibri"/>
                <w:sz w:val="22"/>
                <w:szCs w:val="22"/>
              </w:rPr>
              <w:t>Količina podijeljenog informativnog i edukativnog materijala.</w:t>
            </w:r>
          </w:p>
          <w:p w:rsidR="008E6E79" w:rsidRDefault="008E6E79">
            <w:pPr>
              <w:rPr>
                <w:rFonts w:eastAsia="Calibri"/>
                <w:szCs w:val="22"/>
              </w:rPr>
            </w:pPr>
          </w:p>
          <w:p w:rsidR="008E6E79" w:rsidRDefault="008E6E79">
            <w:pPr>
              <w:rPr>
                <w:rFonts w:eastAsia="Calibri"/>
                <w:szCs w:val="22"/>
              </w:rPr>
            </w:pPr>
          </w:p>
        </w:tc>
      </w:tr>
    </w:tbl>
    <w:p w:rsidR="008E6E79" w:rsidRDefault="008E6E79">
      <w:pPr>
        <w:tabs>
          <w:tab w:val="left" w:pos="3825"/>
        </w:tabs>
        <w:rPr>
          <w:b/>
        </w:rPr>
      </w:pPr>
    </w:p>
    <w:p w:rsidR="008E6E79" w:rsidRDefault="009F7D9A">
      <w:pPr>
        <w:tabs>
          <w:tab w:val="left" w:pos="3825"/>
        </w:tabs>
        <w:rPr>
          <w:b/>
        </w:rPr>
      </w:pPr>
      <w:r>
        <w:rPr>
          <w:b/>
        </w:rPr>
        <w:t>4.2.2. Unapređenje kvalitete života socijalno ugroženog romskog stanovništva</w:t>
      </w:r>
    </w:p>
    <w:tbl>
      <w:tblPr>
        <w:tblW w:w="9335" w:type="dxa"/>
        <w:tblCellMar>
          <w:left w:w="10" w:type="dxa"/>
          <w:right w:w="10" w:type="dxa"/>
        </w:tblCellMar>
        <w:tblLook w:val="0000" w:firstRow="0" w:lastRow="0" w:firstColumn="0" w:lastColumn="0" w:noHBand="0" w:noVBand="0"/>
      </w:tblPr>
      <w:tblGrid>
        <w:gridCol w:w="1696"/>
        <w:gridCol w:w="1585"/>
        <w:gridCol w:w="1500"/>
        <w:gridCol w:w="1558"/>
        <w:gridCol w:w="1300"/>
        <w:gridCol w:w="1696"/>
      </w:tblGrid>
      <w:tr w:rsidR="008E6E79">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85"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500"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55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300"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696"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Povećanje dostupnosti socijalnih naknada JLS</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Smanjenje ugroženosti od </w:t>
            </w:r>
            <w:r>
              <w:rPr>
                <w:rFonts w:eastAsia="Calibri"/>
                <w:sz w:val="22"/>
                <w:szCs w:val="22"/>
              </w:rPr>
              <w:t>siromaštva romske nacionalne manjine.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Roma koji su primili socijalne naknade;</w:t>
            </w:r>
          </w:p>
          <w:p w:rsidR="008E6E79" w:rsidRDefault="009F7D9A">
            <w:pPr>
              <w:rPr>
                <w:rFonts w:eastAsia="Calibri"/>
                <w:szCs w:val="22"/>
              </w:rPr>
            </w:pPr>
            <w:r>
              <w:rPr>
                <w:rFonts w:eastAsia="Calibri"/>
                <w:sz w:val="22"/>
                <w:szCs w:val="22"/>
              </w:rPr>
              <w:t>Ukupan iznos podijeljenih naknada na godišnjoj razini.</w:t>
            </w:r>
          </w:p>
        </w:tc>
      </w:tr>
      <w:tr w:rsidR="008E6E79">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Informiranje Roma o pravima iz sustava socijalne skrbi i pružanje besplatne pravne pomoći</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w:t>
            </w:r>
            <w:r>
              <w:rPr>
                <w:rFonts w:eastAsia="Calibri"/>
                <w:sz w:val="22"/>
                <w:szCs w:val="22"/>
              </w:rPr>
              <w:t>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p w:rsidR="008E6E79" w:rsidRDefault="008E6E79">
            <w:pPr>
              <w:rPr>
                <w:rFonts w:eastAsia="Calibri"/>
                <w:szCs w:val="22"/>
              </w:rPr>
            </w:pP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organizacije:</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9F7D9A">
            <w:pPr>
              <w:rPr>
                <w:rFonts w:eastAsia="Calibri"/>
                <w:szCs w:val="22"/>
              </w:rPr>
            </w:pPr>
            <w:r>
              <w:rPr>
                <w:rFonts w:eastAsia="Calibri"/>
                <w:sz w:val="22"/>
                <w:szCs w:val="22"/>
              </w:rPr>
              <w:t>Hrvatska odvjetnička komora.</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Gradski proračuni </w:t>
            </w:r>
            <w:r>
              <w:rPr>
                <w:rFonts w:eastAsia="Calibri"/>
                <w:sz w:val="22"/>
                <w:szCs w:val="22"/>
              </w:rPr>
              <w:t>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Ministarstvo pravosuđa – program BPP.</w:t>
            </w:r>
          </w:p>
          <w:p w:rsidR="008E6E79" w:rsidRDefault="008E6E79">
            <w:pPr>
              <w:rPr>
                <w:rFonts w:eastAsia="Calibri"/>
                <w:szCs w:val="22"/>
              </w:rPr>
            </w:pPr>
          </w:p>
          <w:p w:rsidR="008E6E79" w:rsidRDefault="009F7D9A">
            <w:pPr>
              <w:rPr>
                <w:rFonts w:eastAsia="Calibri"/>
                <w:szCs w:val="22"/>
              </w:rPr>
            </w:pPr>
            <w:r>
              <w:rPr>
                <w:rFonts w:eastAsia="Calibri"/>
                <w:sz w:val="22"/>
                <w:szCs w:val="22"/>
              </w:rPr>
              <w:t>Hrvatska odvjetnička komora – redovna djelatnost, BPP.</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Smanjenje ugroženosti od siromaštva romske nacionalne manjine.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direktnih korisnika Roma;</w:t>
            </w:r>
          </w:p>
          <w:p w:rsidR="008E6E79" w:rsidRDefault="009F7D9A">
            <w:pPr>
              <w:rPr>
                <w:rFonts w:eastAsia="Calibri"/>
                <w:szCs w:val="22"/>
              </w:rPr>
            </w:pPr>
            <w:r>
              <w:rPr>
                <w:rFonts w:eastAsia="Calibri"/>
                <w:sz w:val="22"/>
                <w:szCs w:val="22"/>
              </w:rPr>
              <w:t>Broj žalbi u postupcima za priznavan</w:t>
            </w:r>
            <w:r>
              <w:rPr>
                <w:rFonts w:eastAsia="Calibri"/>
                <w:sz w:val="22"/>
                <w:szCs w:val="22"/>
              </w:rPr>
              <w:t>je prava iz socijalne skrbi;</w:t>
            </w:r>
          </w:p>
          <w:p w:rsidR="008E6E79" w:rsidRDefault="009F7D9A">
            <w:pPr>
              <w:rPr>
                <w:rFonts w:eastAsia="Calibri"/>
                <w:szCs w:val="22"/>
              </w:rPr>
            </w:pPr>
            <w:r>
              <w:rPr>
                <w:rFonts w:eastAsia="Calibri"/>
                <w:sz w:val="22"/>
                <w:szCs w:val="22"/>
              </w:rPr>
              <w:t>Broj pozitivno riješenih predmeta; Broj potpora organizacijama civilnog društva; Iznos potpora organizacijama civilnog društva;</w:t>
            </w:r>
          </w:p>
          <w:p w:rsidR="008E6E79" w:rsidRDefault="009F7D9A">
            <w:pPr>
              <w:rPr>
                <w:rFonts w:eastAsia="Calibri"/>
                <w:szCs w:val="22"/>
              </w:rPr>
            </w:pPr>
            <w:r>
              <w:rPr>
                <w:rFonts w:eastAsia="Calibri"/>
                <w:sz w:val="22"/>
                <w:szCs w:val="22"/>
              </w:rPr>
              <w:t>Količina podijeljenog informativnog i edukativnog materijala.</w:t>
            </w:r>
          </w:p>
          <w:p w:rsidR="008E6E79" w:rsidRDefault="008E6E79">
            <w:pPr>
              <w:rPr>
                <w:rFonts w:eastAsia="Calibri"/>
                <w:szCs w:val="22"/>
              </w:rPr>
            </w:pPr>
          </w:p>
          <w:p w:rsidR="008E6E79" w:rsidRDefault="008E6E79">
            <w:pPr>
              <w:rPr>
                <w:rFonts w:eastAsia="Calibri"/>
                <w:szCs w:val="22"/>
              </w:rPr>
            </w:pPr>
          </w:p>
        </w:tc>
      </w:tr>
      <w:tr w:rsidR="008E6E79">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Povezivanje romske populacije s </w:t>
            </w:r>
            <w:r>
              <w:rPr>
                <w:rFonts w:eastAsia="Calibri"/>
                <w:sz w:val="22"/>
                <w:szCs w:val="22"/>
              </w:rPr>
              <w:t xml:space="preserve">organizacijama civilnog društva </w:t>
            </w:r>
            <w:proofErr w:type="spellStart"/>
            <w:r>
              <w:rPr>
                <w:rFonts w:eastAsia="Calibri"/>
                <w:sz w:val="22"/>
                <w:szCs w:val="22"/>
              </w:rPr>
              <w:t>pružateljicama</w:t>
            </w:r>
            <w:proofErr w:type="spellEnd"/>
            <w:r>
              <w:rPr>
                <w:rFonts w:eastAsia="Calibri"/>
                <w:sz w:val="22"/>
                <w:szCs w:val="22"/>
              </w:rPr>
              <w:t xml:space="preserve"> socijalnih usluga</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p w:rsidR="008E6E79" w:rsidRDefault="008E6E79">
            <w:pPr>
              <w:rPr>
                <w:rFonts w:eastAsia="Calibri"/>
                <w:szCs w:val="22"/>
              </w:rPr>
            </w:pP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organizacije:</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8E6E79">
            <w:pPr>
              <w:rPr>
                <w:rFonts w:eastAsia="Calibri"/>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 (redovna sredstva)</w:t>
            </w:r>
          </w:p>
          <w:p w:rsidR="008E6E79" w:rsidRDefault="008E6E79">
            <w:pPr>
              <w:rPr>
                <w:rFonts w:eastAsia="Calibri"/>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Smanjenje ugroženosti od siromaštva romske nacionalne manjine.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direktnih korisnika Roma koji su primili socijalne usluge.</w:t>
            </w:r>
          </w:p>
          <w:p w:rsidR="008E6E79" w:rsidRDefault="008E6E79">
            <w:pPr>
              <w:rPr>
                <w:rFonts w:eastAsia="Calibri"/>
                <w:szCs w:val="22"/>
              </w:rPr>
            </w:pPr>
          </w:p>
        </w:tc>
      </w:tr>
    </w:tbl>
    <w:p w:rsidR="008E6E79" w:rsidRDefault="008E6E79">
      <w:pPr>
        <w:tabs>
          <w:tab w:val="left" w:pos="3825"/>
        </w:tabs>
        <w:rPr>
          <w:b/>
          <w:szCs w:val="24"/>
        </w:rPr>
      </w:pPr>
    </w:p>
    <w:p w:rsidR="008E6E79" w:rsidRDefault="008E6E79">
      <w:pPr>
        <w:tabs>
          <w:tab w:val="left" w:pos="3825"/>
        </w:tabs>
        <w:rPr>
          <w:b/>
          <w:szCs w:val="24"/>
        </w:rPr>
      </w:pPr>
    </w:p>
    <w:p w:rsidR="008E6E79" w:rsidRDefault="009F7D9A">
      <w:pPr>
        <w:tabs>
          <w:tab w:val="left" w:pos="3825"/>
        </w:tabs>
        <w:rPr>
          <w:b/>
          <w:szCs w:val="24"/>
        </w:rPr>
      </w:pPr>
      <w:r>
        <w:rPr>
          <w:b/>
          <w:szCs w:val="24"/>
        </w:rPr>
        <w:t xml:space="preserve">4.3. </w:t>
      </w:r>
      <w:r>
        <w:rPr>
          <w:b/>
          <w:szCs w:val="24"/>
        </w:rPr>
        <w:t>Predškolski i školski odgoj i obrazovanje</w:t>
      </w:r>
    </w:p>
    <w:p w:rsidR="008E6E79" w:rsidRDefault="009F7D9A">
      <w:pPr>
        <w:tabs>
          <w:tab w:val="left" w:pos="3825"/>
        </w:tabs>
      </w:pPr>
      <w:r>
        <w:rPr>
          <w:b/>
        </w:rPr>
        <w:t>Opći cilj</w:t>
      </w:r>
      <w:r>
        <w:t>: Poboljšati obrazovnu strukturu Roma</w:t>
      </w:r>
    </w:p>
    <w:p w:rsidR="008E6E79" w:rsidRDefault="009F7D9A">
      <w:pPr>
        <w:tabs>
          <w:tab w:val="left" w:pos="3825"/>
        </w:tabs>
      </w:pPr>
      <w:r>
        <w:rPr>
          <w:b/>
        </w:rPr>
        <w:t>Specifični ciljevi:</w:t>
      </w:r>
    </w:p>
    <w:p w:rsidR="008E6E79" w:rsidRDefault="009F7D9A">
      <w:pPr>
        <w:pStyle w:val="ListParagraph"/>
        <w:numPr>
          <w:ilvl w:val="0"/>
          <w:numId w:val="4"/>
        </w:numPr>
        <w:tabs>
          <w:tab w:val="left" w:pos="3825"/>
        </w:tabs>
        <w:jc w:val="both"/>
      </w:pPr>
      <w:r>
        <w:t>Povećanje uključenosti Roma u predškolski odgoj</w:t>
      </w:r>
    </w:p>
    <w:p w:rsidR="008E6E79" w:rsidRDefault="009F7D9A">
      <w:pPr>
        <w:pStyle w:val="ListParagraph"/>
        <w:numPr>
          <w:ilvl w:val="0"/>
          <w:numId w:val="4"/>
        </w:numPr>
        <w:tabs>
          <w:tab w:val="left" w:pos="3825"/>
        </w:tabs>
        <w:jc w:val="both"/>
      </w:pPr>
      <w:r>
        <w:t>Povećanje pismenost Roma</w:t>
      </w:r>
    </w:p>
    <w:p w:rsidR="008E6E79" w:rsidRDefault="009F7D9A">
      <w:pPr>
        <w:pStyle w:val="ListParagraph"/>
        <w:numPr>
          <w:ilvl w:val="0"/>
          <w:numId w:val="4"/>
        </w:numPr>
        <w:tabs>
          <w:tab w:val="left" w:pos="3825"/>
        </w:tabs>
        <w:jc w:val="both"/>
      </w:pPr>
      <w:r>
        <w:t>Povećanje broja Roma u srednjoškolskom obrazovanju</w:t>
      </w:r>
    </w:p>
    <w:p w:rsidR="008E6E79" w:rsidRDefault="009F7D9A">
      <w:pPr>
        <w:pStyle w:val="ListParagraph"/>
        <w:numPr>
          <w:ilvl w:val="0"/>
          <w:numId w:val="4"/>
        </w:numPr>
        <w:tabs>
          <w:tab w:val="left" w:pos="3825"/>
        </w:tabs>
        <w:jc w:val="both"/>
      </w:pPr>
      <w:r>
        <w:t xml:space="preserve">Povećanje broja </w:t>
      </w:r>
      <w:r>
        <w:t>visoko-obrazovanih Roma</w:t>
      </w:r>
    </w:p>
    <w:p w:rsidR="008E6E79" w:rsidRDefault="008E6E79">
      <w:pPr>
        <w:tabs>
          <w:tab w:val="left" w:pos="3825"/>
        </w:tabs>
        <w:ind w:left="360"/>
        <w:rPr>
          <w:b/>
          <w:sz w:val="28"/>
        </w:rPr>
      </w:pPr>
    </w:p>
    <w:p w:rsidR="008E6E79" w:rsidRDefault="009F7D9A">
      <w:pPr>
        <w:tabs>
          <w:tab w:val="left" w:pos="3825"/>
        </w:tabs>
        <w:ind w:left="360"/>
        <w:jc w:val="center"/>
        <w:rPr>
          <w:b/>
          <w:szCs w:val="24"/>
        </w:rPr>
      </w:pPr>
      <w:r>
        <w:rPr>
          <w:b/>
          <w:szCs w:val="24"/>
        </w:rPr>
        <w:t>MJERE I AKTIVNOSTI</w:t>
      </w:r>
    </w:p>
    <w:p w:rsidR="008E6E79" w:rsidRDefault="009F7D9A">
      <w:pPr>
        <w:tabs>
          <w:tab w:val="left" w:pos="3825"/>
        </w:tabs>
      </w:pPr>
      <w:r>
        <w:rPr>
          <w:b/>
        </w:rPr>
        <w:t>4.3.1. Osigurati predškolski i školski odgoj i obrazovanje romskoj djeci</w:t>
      </w:r>
    </w:p>
    <w:tbl>
      <w:tblPr>
        <w:tblW w:w="9570" w:type="dxa"/>
        <w:tblCellMar>
          <w:left w:w="10" w:type="dxa"/>
          <w:right w:w="10" w:type="dxa"/>
        </w:tblCellMar>
        <w:tblLook w:val="0000" w:firstRow="0" w:lastRow="0" w:firstColumn="0" w:lastColumn="0" w:noHBand="0" w:noVBand="0"/>
      </w:tblPr>
      <w:tblGrid>
        <w:gridCol w:w="1839"/>
        <w:gridCol w:w="1464"/>
        <w:gridCol w:w="1633"/>
        <w:gridCol w:w="1669"/>
        <w:gridCol w:w="1198"/>
        <w:gridCol w:w="1767"/>
      </w:tblGrid>
      <w:tr w:rsidR="008E6E79">
        <w:tblPrEx>
          <w:tblCellMar>
            <w:top w:w="0" w:type="dxa"/>
            <w:bottom w:w="0" w:type="dxa"/>
          </w:tblCellMar>
        </w:tblPrEx>
        <w:tc>
          <w:tcPr>
            <w:tcW w:w="183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46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63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66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19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767"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Uključivanje </w:t>
            </w:r>
            <w:r>
              <w:rPr>
                <w:rFonts w:eastAsia="Calibri"/>
                <w:sz w:val="22"/>
                <w:szCs w:val="22"/>
              </w:rPr>
              <w:t>asistenata u nastavi u predškolskom odgoju</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Nadležni upravni odjeli za odgoj i obrazovanje</w:t>
            </w:r>
          </w:p>
          <w:p w:rsidR="008E6E79" w:rsidRDefault="009F7D9A">
            <w:pPr>
              <w:rPr>
                <w:rFonts w:eastAsia="Calibri"/>
                <w:szCs w:val="22"/>
              </w:rPr>
            </w:pPr>
            <w:r>
              <w:rPr>
                <w:rFonts w:eastAsia="Calibri"/>
                <w:sz w:val="22"/>
                <w:szCs w:val="22"/>
              </w:rPr>
              <w:t>u gradovima</w:t>
            </w:r>
          </w:p>
          <w:p w:rsidR="008E6E79" w:rsidRDefault="009F7D9A">
            <w:pPr>
              <w:rPr>
                <w:rFonts w:eastAsia="Calibri"/>
                <w:szCs w:val="22"/>
              </w:rPr>
            </w:pPr>
            <w:r>
              <w:rPr>
                <w:rFonts w:eastAsia="Calibri"/>
                <w:sz w:val="22"/>
                <w:szCs w:val="22"/>
              </w:rPr>
              <w:t>Rijeka, Opatija, Crikvenica</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i/>
                <w:szCs w:val="22"/>
              </w:rPr>
            </w:pPr>
            <w:r>
              <w:rPr>
                <w:rFonts w:eastAsia="Calibri"/>
                <w:i/>
                <w:sz w:val="22"/>
                <w:szCs w:val="22"/>
              </w:rPr>
              <w:t xml:space="preserve">Proračun Primorsko-goranske županije, gradski i općinski proračuni </w:t>
            </w:r>
            <w:r>
              <w:rPr>
                <w:rFonts w:eastAsia="Calibri"/>
                <w:i/>
                <w:sz w:val="22"/>
                <w:szCs w:val="22"/>
              </w:rPr>
              <w:t>za 2018. i 2019.</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 broj djece uključene u predškolski odgoj</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djece Roma uključenih u predškolski odgoj na godišnjoj razini.</w:t>
            </w:r>
          </w:p>
          <w:p w:rsidR="008E6E79" w:rsidRDefault="008E6E79">
            <w:pPr>
              <w:rPr>
                <w:rFonts w:eastAsia="Calibri"/>
                <w:szCs w:val="22"/>
              </w:rPr>
            </w:pPr>
          </w:p>
          <w:p w:rsidR="008E6E79" w:rsidRDefault="009F7D9A">
            <w:pPr>
              <w:rPr>
                <w:rFonts w:eastAsia="Calibri"/>
                <w:szCs w:val="22"/>
              </w:rPr>
            </w:pPr>
            <w:r>
              <w:rPr>
                <w:rFonts w:eastAsia="Calibri"/>
                <w:sz w:val="22"/>
                <w:szCs w:val="22"/>
              </w:rPr>
              <w:t>Broj asistenata u nastavi u predškolskom odgoju.</w:t>
            </w:r>
          </w:p>
        </w:tc>
      </w:tr>
      <w:tr w:rsidR="008E6E79">
        <w:tblPrEx>
          <w:tblCellMar>
            <w:top w:w="0" w:type="dxa"/>
            <w:bottom w:w="0" w:type="dxa"/>
          </w:tblCellMar>
        </w:tblPrEx>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Osiguravanje asistenata u nastavi u osnovno-školskom </w:t>
            </w:r>
            <w:r>
              <w:rPr>
                <w:rFonts w:eastAsia="Calibri"/>
                <w:sz w:val="22"/>
                <w:szCs w:val="22"/>
              </w:rPr>
              <w:t>obrazovanju</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Upravni odjel za odgoj i obrazovanje, odgovarajući upravni odjeli u gradovima Rijeka, Crikvenica, Opatija</w:t>
            </w:r>
          </w:p>
          <w:p w:rsidR="008E6E79" w:rsidRDefault="008E6E79">
            <w:pPr>
              <w:rPr>
                <w:rFonts w:eastAsia="Calibri"/>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i/>
                <w:szCs w:val="22"/>
              </w:rPr>
            </w:pPr>
            <w:r>
              <w:rPr>
                <w:rFonts w:eastAsia="Calibri"/>
                <w:i/>
                <w:sz w:val="22"/>
                <w:szCs w:val="22"/>
              </w:rPr>
              <w:t>Proračun Primorsko-goranske županije, gradski proračuni za 2018. i 2019</w:t>
            </w:r>
          </w:p>
          <w:p w:rsidR="008E6E79" w:rsidRDefault="008E6E79">
            <w:pPr>
              <w:rPr>
                <w:rFonts w:eastAsia="Calibri"/>
                <w:i/>
                <w:szCs w:val="22"/>
              </w:rPr>
            </w:pPr>
          </w:p>
          <w:p w:rsidR="008E6E79" w:rsidRDefault="008E6E79">
            <w:pPr>
              <w:rPr>
                <w:rFonts w:eastAsia="Calibri"/>
                <w:i/>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 broj djece Roma sa završenom osnovnom školom.</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Roma koju su završili osnovnoškolsko obrazovanje.</w:t>
            </w:r>
          </w:p>
          <w:p w:rsidR="008E6E79" w:rsidRDefault="008E6E79">
            <w:pPr>
              <w:rPr>
                <w:rFonts w:eastAsia="Calibri"/>
                <w:szCs w:val="22"/>
              </w:rPr>
            </w:pPr>
          </w:p>
          <w:p w:rsidR="008E6E79" w:rsidRDefault="009F7D9A">
            <w:pPr>
              <w:rPr>
                <w:rFonts w:eastAsia="Calibri"/>
                <w:szCs w:val="22"/>
              </w:rPr>
            </w:pPr>
            <w:r>
              <w:rPr>
                <w:rFonts w:eastAsia="Calibri"/>
                <w:sz w:val="22"/>
                <w:szCs w:val="22"/>
              </w:rPr>
              <w:t>Broj asistenata u nastavi u predškolskom odgoju.</w:t>
            </w:r>
          </w:p>
        </w:tc>
      </w:tr>
      <w:tr w:rsidR="008E6E79">
        <w:tblPrEx>
          <w:tblCellMar>
            <w:top w:w="0" w:type="dxa"/>
            <w:bottom w:w="0" w:type="dxa"/>
          </w:tblCellMar>
        </w:tblPrEx>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Povećati broj Roma u srednjoškolskom obrazovanju</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 xml:space="preserve">Primorsko-goranska </w:t>
            </w:r>
            <w:r>
              <w:rPr>
                <w:rFonts w:eastAsia="Calibri"/>
                <w:sz w:val="22"/>
                <w:szCs w:val="22"/>
              </w:rPr>
              <w:t>županija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Upravni odjel za odgoj i obrazovanje</w:t>
            </w:r>
          </w:p>
          <w:p w:rsidR="008E6E79" w:rsidRDefault="009F7D9A">
            <w:proofErr w:type="spellStart"/>
            <w:r>
              <w:rPr>
                <w:rFonts w:eastAsia="Calibri"/>
                <w:i/>
                <w:sz w:val="22"/>
                <w:szCs w:val="22"/>
              </w:rPr>
              <w:t>Suradne</w:t>
            </w:r>
            <w:proofErr w:type="spellEnd"/>
            <w:r>
              <w:rPr>
                <w:rFonts w:eastAsia="Calibri"/>
                <w:i/>
                <w:sz w:val="22"/>
                <w:szCs w:val="22"/>
              </w:rPr>
              <w:t xml:space="preserve"> organizacije:</w:t>
            </w:r>
          </w:p>
          <w:p w:rsidR="008E6E79" w:rsidRDefault="009F7D9A">
            <w:pPr>
              <w:rPr>
                <w:rFonts w:eastAsia="Calibri"/>
                <w:szCs w:val="22"/>
              </w:rPr>
            </w:pPr>
            <w:r>
              <w:rPr>
                <w:rFonts w:eastAsia="Calibri"/>
                <w:sz w:val="22"/>
                <w:szCs w:val="22"/>
              </w:rPr>
              <w:t>Vijeća romske nacionalne manjine na regionalnoj i lokalnoj razini</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Proračun Primorsko-goranske županije i gradova i općina za 2018. i 2019.</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 broj Roma sa završeno</w:t>
            </w:r>
            <w:r>
              <w:rPr>
                <w:rFonts w:eastAsia="Calibri"/>
                <w:sz w:val="22"/>
                <w:szCs w:val="22"/>
              </w:rPr>
              <w:t>m srednjom školom</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Roma koji su završili srednje školsko obrazovanje.</w:t>
            </w:r>
          </w:p>
        </w:tc>
      </w:tr>
      <w:tr w:rsidR="008E6E79">
        <w:tblPrEx>
          <w:tblCellMar>
            <w:top w:w="0" w:type="dxa"/>
            <w:bottom w:w="0" w:type="dxa"/>
          </w:tblCellMar>
        </w:tblPrEx>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Povećati broj visoko obrazovanih Roma</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Upravni odjel za odgoj i obrazovanje, </w:t>
            </w:r>
          </w:p>
          <w:p w:rsidR="008E6E79" w:rsidRDefault="008E6E79">
            <w:pPr>
              <w:rPr>
                <w:rFonts w:eastAsia="Calibri"/>
                <w:szCs w:val="22"/>
              </w:rPr>
            </w:pPr>
          </w:p>
          <w:p w:rsidR="008E6E79" w:rsidRDefault="009F7D9A">
            <w:proofErr w:type="spellStart"/>
            <w:r>
              <w:rPr>
                <w:rFonts w:eastAsia="Calibri"/>
                <w:i/>
                <w:sz w:val="22"/>
                <w:szCs w:val="22"/>
              </w:rPr>
              <w:t>Suradne</w:t>
            </w:r>
            <w:proofErr w:type="spellEnd"/>
            <w:r>
              <w:rPr>
                <w:rFonts w:eastAsia="Calibri"/>
                <w:i/>
                <w:sz w:val="22"/>
                <w:szCs w:val="22"/>
              </w:rPr>
              <w:t xml:space="preserve"> organizacije:</w:t>
            </w:r>
          </w:p>
          <w:p w:rsidR="008E6E79" w:rsidRDefault="009F7D9A">
            <w:pPr>
              <w:rPr>
                <w:rFonts w:eastAsia="Calibri"/>
                <w:szCs w:val="22"/>
              </w:rPr>
            </w:pPr>
            <w:r>
              <w:rPr>
                <w:rFonts w:eastAsia="Calibri"/>
                <w:sz w:val="22"/>
                <w:szCs w:val="22"/>
              </w:rPr>
              <w:t xml:space="preserve">Vijeća </w:t>
            </w:r>
            <w:r>
              <w:rPr>
                <w:rFonts w:eastAsia="Calibri"/>
                <w:sz w:val="22"/>
                <w:szCs w:val="22"/>
              </w:rPr>
              <w:t>romske nacionalne manjine na regionalnoj i lokalnoj razini;</w:t>
            </w:r>
          </w:p>
          <w:p w:rsidR="008E6E79" w:rsidRDefault="009F7D9A">
            <w:pPr>
              <w:rPr>
                <w:rFonts w:eastAsia="Calibri"/>
                <w:szCs w:val="22"/>
              </w:rPr>
            </w:pPr>
            <w:r>
              <w:rPr>
                <w:rFonts w:eastAsia="Calibri"/>
                <w:sz w:val="22"/>
                <w:szCs w:val="22"/>
              </w:rPr>
              <w:t>Sveučilište u Rijeci</w:t>
            </w:r>
          </w:p>
          <w:p w:rsidR="008E6E79" w:rsidRDefault="008E6E79">
            <w:pPr>
              <w:rPr>
                <w:rFonts w:eastAsia="Calibri"/>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Proračun Primorsko-goranske županije, gradski i općinski proračuni 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Proračuni Sveučilišta iz centraliziranog financiranja – stipendiranje.</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Povećan broj Roma </w:t>
            </w:r>
            <w:r>
              <w:rPr>
                <w:rFonts w:eastAsia="Calibri"/>
                <w:sz w:val="22"/>
                <w:szCs w:val="22"/>
              </w:rPr>
              <w:t>sa visokoškolskim obrazovanjem.</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Roma koji su završili visokoškolsko obrazovanje.</w:t>
            </w:r>
          </w:p>
        </w:tc>
      </w:tr>
    </w:tbl>
    <w:p w:rsidR="008E6E79" w:rsidRDefault="008E6E79">
      <w:pPr>
        <w:tabs>
          <w:tab w:val="left" w:pos="3825"/>
        </w:tabs>
      </w:pPr>
    </w:p>
    <w:p w:rsidR="008E6E79" w:rsidRDefault="009F7D9A">
      <w:pPr>
        <w:tabs>
          <w:tab w:val="left" w:pos="3825"/>
        </w:tabs>
      </w:pPr>
      <w:r>
        <w:rPr>
          <w:b/>
        </w:rPr>
        <w:t>4.3.2. Povećati osnovnoškolsko obrazovanje Roma</w:t>
      </w:r>
    </w:p>
    <w:tbl>
      <w:tblPr>
        <w:tblW w:w="9228" w:type="dxa"/>
        <w:tblCellMar>
          <w:left w:w="10" w:type="dxa"/>
          <w:right w:w="10" w:type="dxa"/>
        </w:tblCellMar>
        <w:tblLook w:val="0000" w:firstRow="0" w:lastRow="0" w:firstColumn="0" w:lastColumn="0" w:noHBand="0" w:noVBand="0"/>
      </w:tblPr>
      <w:tblGrid>
        <w:gridCol w:w="1831"/>
        <w:gridCol w:w="1568"/>
        <w:gridCol w:w="1479"/>
        <w:gridCol w:w="1524"/>
        <w:gridCol w:w="1283"/>
        <w:gridCol w:w="1543"/>
      </w:tblGrid>
      <w:tr w:rsidR="008E6E79">
        <w:tblPrEx>
          <w:tblCellMar>
            <w:top w:w="0" w:type="dxa"/>
            <w:bottom w:w="0" w:type="dxa"/>
          </w:tblCellMar>
        </w:tblPrEx>
        <w:tc>
          <w:tcPr>
            <w:tcW w:w="1831"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6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7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52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28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4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Pomoć roditeljima u svrhu uključivanja i ostanka djece u osnovnoj školi.</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w:t>
            </w:r>
          </w:p>
          <w:p w:rsidR="008E6E79" w:rsidRDefault="008E6E79">
            <w:pPr>
              <w:rPr>
                <w:rFonts w:eastAsia="Calibri"/>
                <w:szCs w:val="22"/>
              </w:rPr>
            </w:pP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organizacije:</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8E6E79">
            <w:pPr>
              <w:rPr>
                <w:rFonts w:eastAsia="Calibri"/>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 broj Roma koji završavaju osnovnu školu.</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2018. -2019.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Broj roditelja </w:t>
            </w:r>
            <w:r>
              <w:rPr>
                <w:rFonts w:eastAsia="Calibri"/>
                <w:sz w:val="22"/>
                <w:szCs w:val="22"/>
              </w:rPr>
              <w:t>koji su primili pomoć;</w:t>
            </w:r>
          </w:p>
          <w:p w:rsidR="008E6E79" w:rsidRDefault="009F7D9A">
            <w:pPr>
              <w:rPr>
                <w:rFonts w:eastAsia="Calibri"/>
                <w:szCs w:val="22"/>
              </w:rPr>
            </w:pPr>
            <w:r>
              <w:rPr>
                <w:rFonts w:eastAsia="Calibri"/>
                <w:sz w:val="22"/>
                <w:szCs w:val="22"/>
              </w:rPr>
              <w:t>Broj djece koja su završila osnovnu školu na godišnjoj razni;</w:t>
            </w:r>
          </w:p>
          <w:p w:rsidR="008E6E79" w:rsidRDefault="009F7D9A">
            <w:pPr>
              <w:rPr>
                <w:rFonts w:eastAsia="Calibri"/>
                <w:szCs w:val="22"/>
              </w:rPr>
            </w:pPr>
            <w:r>
              <w:rPr>
                <w:rFonts w:eastAsia="Calibri"/>
                <w:sz w:val="22"/>
                <w:szCs w:val="22"/>
              </w:rPr>
              <w:t>Stopa napuštanja osnovnog obrazovanja.</w:t>
            </w:r>
          </w:p>
        </w:tc>
      </w:tr>
      <w:tr w:rsidR="008E6E79">
        <w:tblPrEx>
          <w:tblCellMar>
            <w:top w:w="0" w:type="dxa"/>
            <w:bottom w:w="0" w:type="dxa"/>
          </w:tblCellMar>
        </w:tblPrEx>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Osnovnoškolsko obrazovanje odraslih</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w:t>
            </w:r>
            <w:r>
              <w:rPr>
                <w:rFonts w:eastAsia="Calibri"/>
                <w:sz w:val="22"/>
                <w:szCs w:val="22"/>
              </w:rPr>
              <w:t xml:space="preserve">općinama </w:t>
            </w:r>
          </w:p>
          <w:p w:rsidR="008E6E79" w:rsidRDefault="008E6E79">
            <w:pPr>
              <w:rPr>
                <w:rFonts w:eastAsia="Calibri"/>
                <w:szCs w:val="22"/>
              </w:rPr>
            </w:pPr>
          </w:p>
          <w:p w:rsidR="008E6E79" w:rsidRDefault="008E6E79">
            <w:pPr>
              <w:rPr>
                <w:rFonts w:eastAsia="Calibri"/>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na liniji provedbe Nacionalne strategije.</w:t>
            </w:r>
          </w:p>
          <w:p w:rsidR="008E6E79" w:rsidRDefault="008E6E79">
            <w:pPr>
              <w:rPr>
                <w:rFonts w:eastAsia="Calibri"/>
                <w:szCs w:val="22"/>
              </w:rPr>
            </w:pPr>
          </w:p>
          <w:p w:rsidR="008E6E79" w:rsidRDefault="009F7D9A">
            <w:pPr>
              <w:rPr>
                <w:rFonts w:eastAsia="Calibri"/>
                <w:szCs w:val="22"/>
              </w:rPr>
            </w:pPr>
            <w:r>
              <w:rPr>
                <w:rFonts w:eastAsia="Calibri"/>
                <w:sz w:val="22"/>
                <w:szCs w:val="22"/>
              </w:rPr>
              <w:t>Europski fondovi.</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 broj Roma koji završavaju osnovnu školu.</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odraslih Roma koji su završili osnovnu školu;</w:t>
            </w:r>
          </w:p>
          <w:p w:rsidR="008E6E79" w:rsidRDefault="009F7D9A">
            <w:pPr>
              <w:rPr>
                <w:rFonts w:eastAsia="Calibri"/>
                <w:szCs w:val="22"/>
              </w:rPr>
            </w:pPr>
            <w:r>
              <w:rPr>
                <w:rFonts w:eastAsia="Calibri"/>
                <w:sz w:val="22"/>
                <w:szCs w:val="22"/>
              </w:rPr>
              <w:t>Stopa</w:t>
            </w:r>
            <w:r>
              <w:rPr>
                <w:rFonts w:eastAsia="Calibri"/>
                <w:sz w:val="22"/>
                <w:szCs w:val="22"/>
              </w:rPr>
              <w:t xml:space="preserve"> napuštanja osnovnog obrazovanja.</w:t>
            </w:r>
          </w:p>
        </w:tc>
      </w:tr>
    </w:tbl>
    <w:p w:rsidR="008E6E79" w:rsidRDefault="008E6E79">
      <w:pPr>
        <w:tabs>
          <w:tab w:val="left" w:pos="3825"/>
        </w:tabs>
      </w:pPr>
    </w:p>
    <w:p w:rsidR="008E6E79" w:rsidRDefault="009F7D9A">
      <w:pPr>
        <w:tabs>
          <w:tab w:val="left" w:pos="3825"/>
        </w:tabs>
      </w:pPr>
      <w:r>
        <w:rPr>
          <w:b/>
        </w:rPr>
        <w:t>4.3.3. Uključivanje romskih pomagača za rad u školama</w:t>
      </w:r>
    </w:p>
    <w:tbl>
      <w:tblPr>
        <w:tblW w:w="9062" w:type="dxa"/>
        <w:tblCellMar>
          <w:left w:w="10" w:type="dxa"/>
          <w:right w:w="10" w:type="dxa"/>
        </w:tblCellMar>
        <w:tblLook w:val="0000" w:firstRow="0" w:lastRow="0" w:firstColumn="0" w:lastColumn="0" w:noHBand="0" w:noVBand="0"/>
      </w:tblPr>
      <w:tblGrid>
        <w:gridCol w:w="1665"/>
        <w:gridCol w:w="1568"/>
        <w:gridCol w:w="1479"/>
        <w:gridCol w:w="1524"/>
        <w:gridCol w:w="1283"/>
        <w:gridCol w:w="1543"/>
      </w:tblGrid>
      <w:tr w:rsidR="008E6E79">
        <w:tblPrEx>
          <w:tblCellMar>
            <w:top w:w="0" w:type="dxa"/>
            <w:bottom w:w="0" w:type="dxa"/>
          </w:tblCellMar>
        </w:tblPrEx>
        <w:tc>
          <w:tcPr>
            <w:tcW w:w="1665"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6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7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52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28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4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Pomoć u provođenju nastave.</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 xml:space="preserve">Gradovi </w:t>
            </w:r>
            <w:r>
              <w:rPr>
                <w:rFonts w:eastAsia="Calibri"/>
                <w:sz w:val="22"/>
                <w:szCs w:val="22"/>
              </w:rPr>
              <w:t>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p w:rsidR="008E6E79" w:rsidRDefault="008E6E79">
            <w:pPr>
              <w:rPr>
                <w:rFonts w:eastAsia="Calibri"/>
                <w:szCs w:val="22"/>
              </w:rPr>
            </w:pPr>
          </w:p>
          <w:p w:rsidR="008E6E79" w:rsidRDefault="008E6E79">
            <w:pPr>
              <w:rPr>
                <w:rFonts w:eastAsia="Calibri"/>
                <w:szCs w:val="22"/>
              </w:rPr>
            </w:pPr>
          </w:p>
          <w:p w:rsidR="008E6E79" w:rsidRDefault="008E6E79">
            <w:pPr>
              <w:rPr>
                <w:rFonts w:eastAsia="Calibri"/>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na liniji provedbe Nacionalne strategije.</w:t>
            </w:r>
          </w:p>
          <w:p w:rsidR="008E6E79" w:rsidRDefault="008E6E79">
            <w:pPr>
              <w:rPr>
                <w:rFonts w:eastAsia="Calibri"/>
                <w:szCs w:val="22"/>
              </w:rPr>
            </w:pPr>
          </w:p>
          <w:p w:rsidR="008E6E79" w:rsidRDefault="009F7D9A">
            <w:pPr>
              <w:rPr>
                <w:rFonts w:eastAsia="Calibri"/>
                <w:szCs w:val="22"/>
              </w:rPr>
            </w:pPr>
            <w:r>
              <w:rPr>
                <w:rFonts w:eastAsia="Calibri"/>
                <w:sz w:val="22"/>
                <w:szCs w:val="22"/>
              </w:rPr>
              <w:t>Europski fondovi.</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Povećana integracija Roma u proces </w:t>
            </w:r>
            <w:r>
              <w:rPr>
                <w:rFonts w:eastAsia="Calibri"/>
                <w:sz w:val="22"/>
                <w:szCs w:val="22"/>
              </w:rPr>
              <w:t>obrazovanja.</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uključenih romskih asistenata u provođenju nastave;</w:t>
            </w:r>
          </w:p>
          <w:p w:rsidR="008E6E79" w:rsidRDefault="009F7D9A">
            <w:pPr>
              <w:rPr>
                <w:rFonts w:eastAsia="Calibri"/>
                <w:szCs w:val="22"/>
              </w:rPr>
            </w:pPr>
            <w:r>
              <w:rPr>
                <w:rFonts w:eastAsia="Calibri"/>
                <w:sz w:val="22"/>
                <w:szCs w:val="22"/>
              </w:rPr>
              <w:t>Broj učenika kojima je pružena asistencija na godišnjoj razini;</w:t>
            </w:r>
          </w:p>
          <w:p w:rsidR="008E6E79" w:rsidRDefault="009F7D9A">
            <w:pPr>
              <w:rPr>
                <w:rFonts w:eastAsia="Calibri"/>
                <w:szCs w:val="22"/>
              </w:rPr>
            </w:pPr>
            <w:r>
              <w:rPr>
                <w:rFonts w:eastAsia="Calibri"/>
                <w:sz w:val="22"/>
                <w:szCs w:val="22"/>
              </w:rPr>
              <w:t>Broj učenika koji su završili osnovnu ili srednju školu.</w:t>
            </w:r>
          </w:p>
        </w:tc>
      </w:tr>
    </w:tbl>
    <w:p w:rsidR="008E6E79" w:rsidRDefault="008E6E79">
      <w:pPr>
        <w:tabs>
          <w:tab w:val="left" w:pos="3825"/>
        </w:tabs>
      </w:pPr>
    </w:p>
    <w:p w:rsidR="008E6E79" w:rsidRDefault="008E6E79">
      <w:pPr>
        <w:tabs>
          <w:tab w:val="left" w:pos="3825"/>
        </w:tabs>
      </w:pPr>
    </w:p>
    <w:p w:rsidR="008E6E79" w:rsidRDefault="009F7D9A">
      <w:pPr>
        <w:tabs>
          <w:tab w:val="left" w:pos="3825"/>
        </w:tabs>
        <w:rPr>
          <w:b/>
          <w:szCs w:val="24"/>
        </w:rPr>
      </w:pPr>
      <w:r>
        <w:rPr>
          <w:b/>
          <w:szCs w:val="24"/>
        </w:rPr>
        <w:t>4.4. Zdravstvena zaštita</w:t>
      </w:r>
    </w:p>
    <w:p w:rsidR="008E6E79" w:rsidRDefault="009F7D9A">
      <w:pPr>
        <w:tabs>
          <w:tab w:val="left" w:pos="3825"/>
        </w:tabs>
      </w:pPr>
      <w:r>
        <w:rPr>
          <w:b/>
        </w:rPr>
        <w:t>Opći cilj</w:t>
      </w:r>
      <w:r>
        <w:t xml:space="preserve">: Povećati </w:t>
      </w:r>
      <w:r>
        <w:t>zdravstveni standard Roma.</w:t>
      </w:r>
    </w:p>
    <w:p w:rsidR="008E6E79" w:rsidRDefault="009F7D9A">
      <w:pPr>
        <w:tabs>
          <w:tab w:val="left" w:pos="3825"/>
        </w:tabs>
      </w:pPr>
      <w:r>
        <w:rPr>
          <w:b/>
        </w:rPr>
        <w:t>Specifični ciljevi</w:t>
      </w:r>
      <w:r>
        <w:t>:</w:t>
      </w:r>
    </w:p>
    <w:p w:rsidR="008E6E79" w:rsidRDefault="009F7D9A">
      <w:pPr>
        <w:pStyle w:val="ListParagraph"/>
        <w:numPr>
          <w:ilvl w:val="0"/>
          <w:numId w:val="5"/>
        </w:numPr>
        <w:tabs>
          <w:tab w:val="left" w:pos="3825"/>
        </w:tabs>
        <w:jc w:val="both"/>
      </w:pPr>
      <w:r>
        <w:t>Povećati znanje Roma o osobnoj higijeni i zdravim stilovima života.</w:t>
      </w:r>
    </w:p>
    <w:p w:rsidR="008E6E79" w:rsidRDefault="009F7D9A">
      <w:pPr>
        <w:pStyle w:val="ListParagraph"/>
        <w:numPr>
          <w:ilvl w:val="0"/>
          <w:numId w:val="5"/>
        </w:numPr>
        <w:tabs>
          <w:tab w:val="left" w:pos="3825"/>
        </w:tabs>
        <w:jc w:val="both"/>
      </w:pPr>
      <w:r>
        <w:t>Suzbijati zarazne bolesti u romskoj populaciji.</w:t>
      </w:r>
    </w:p>
    <w:p w:rsidR="008E6E79" w:rsidRDefault="009F7D9A">
      <w:pPr>
        <w:pStyle w:val="ListParagraph"/>
        <w:numPr>
          <w:ilvl w:val="0"/>
          <w:numId w:val="5"/>
        </w:numPr>
        <w:tabs>
          <w:tab w:val="left" w:pos="3825"/>
        </w:tabs>
        <w:jc w:val="both"/>
      </w:pPr>
      <w:r>
        <w:t>Osigurati pravo na zdravstvenu zaštitu.</w:t>
      </w:r>
    </w:p>
    <w:p w:rsidR="008E6E79" w:rsidRDefault="008E6E79">
      <w:pPr>
        <w:pStyle w:val="ListParagraph"/>
        <w:tabs>
          <w:tab w:val="left" w:pos="3825"/>
        </w:tabs>
        <w:jc w:val="both"/>
      </w:pPr>
    </w:p>
    <w:p w:rsidR="008E6E79" w:rsidRDefault="009F7D9A">
      <w:pPr>
        <w:pStyle w:val="ListParagraph"/>
        <w:tabs>
          <w:tab w:val="left" w:pos="3825"/>
        </w:tabs>
        <w:jc w:val="center"/>
        <w:rPr>
          <w:b/>
          <w:sz w:val="28"/>
        </w:rPr>
      </w:pPr>
      <w:r>
        <w:rPr>
          <w:b/>
          <w:sz w:val="28"/>
        </w:rPr>
        <w:t>MJERE I AKTIVNOSTI</w:t>
      </w:r>
    </w:p>
    <w:p w:rsidR="008E6E79" w:rsidRDefault="009F7D9A">
      <w:pPr>
        <w:tabs>
          <w:tab w:val="left" w:pos="3825"/>
        </w:tabs>
        <w:rPr>
          <w:b/>
        </w:rPr>
      </w:pPr>
      <w:r>
        <w:rPr>
          <w:b/>
        </w:rPr>
        <w:t xml:space="preserve">4.4.1. Povećanje standarda </w:t>
      </w:r>
      <w:r>
        <w:rPr>
          <w:b/>
        </w:rPr>
        <w:t>zdravog življenja</w:t>
      </w:r>
    </w:p>
    <w:tbl>
      <w:tblPr>
        <w:tblW w:w="9211" w:type="dxa"/>
        <w:tblCellMar>
          <w:left w:w="10" w:type="dxa"/>
          <w:right w:w="10" w:type="dxa"/>
        </w:tblCellMar>
        <w:tblLook w:val="0000" w:firstRow="0" w:lastRow="0" w:firstColumn="0" w:lastColumn="0" w:noHBand="0" w:noVBand="0"/>
      </w:tblPr>
      <w:tblGrid>
        <w:gridCol w:w="1733"/>
        <w:gridCol w:w="1521"/>
        <w:gridCol w:w="1439"/>
        <w:gridCol w:w="1733"/>
        <w:gridCol w:w="1248"/>
        <w:gridCol w:w="1537"/>
      </w:tblGrid>
      <w:tr w:rsidR="008E6E79">
        <w:tblPrEx>
          <w:tblCellMar>
            <w:top w:w="0" w:type="dxa"/>
            <w:bottom w:w="0" w:type="dxa"/>
          </w:tblCellMar>
        </w:tblPrEx>
        <w:tc>
          <w:tcPr>
            <w:tcW w:w="173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21"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3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73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24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37"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Edukacija o osobnoj higijeni i zdravim stilovima života</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Županijski Nastavni zavod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Suradnici:</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8E6E79">
            <w:pPr>
              <w:rPr>
                <w:rFonts w:eastAsia="Calibri"/>
                <w:szCs w:val="22"/>
              </w:rPr>
            </w:pPr>
          </w:p>
          <w:p w:rsidR="008E6E79" w:rsidRDefault="008E6E79">
            <w:pPr>
              <w:rPr>
                <w:rFonts w:eastAsia="Calibri"/>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i gradski i općinski proračuni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Proračuni Nastavnog za</w:t>
            </w:r>
            <w:r>
              <w:rPr>
                <w:rFonts w:eastAsia="Calibri"/>
                <w:sz w:val="22"/>
                <w:szCs w:val="22"/>
              </w:rPr>
              <w:t>voda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na liniji provedbe Nacionalne strategije.</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programi i projekti iz područja zdravstva.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Povećano znanje Roma o osobnoj higijeni i zdravim stilovima života.</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održanih edukacija;</w:t>
            </w:r>
          </w:p>
          <w:p w:rsidR="008E6E79" w:rsidRDefault="009F7D9A">
            <w:pPr>
              <w:rPr>
                <w:rFonts w:eastAsia="Calibri"/>
                <w:szCs w:val="22"/>
              </w:rPr>
            </w:pPr>
            <w:r>
              <w:rPr>
                <w:rFonts w:eastAsia="Calibri"/>
                <w:sz w:val="22"/>
                <w:szCs w:val="22"/>
              </w:rPr>
              <w:t>Br</w:t>
            </w:r>
            <w:r>
              <w:rPr>
                <w:rFonts w:eastAsia="Calibri"/>
                <w:sz w:val="22"/>
                <w:szCs w:val="22"/>
              </w:rPr>
              <w:t>oj Roma obuhvaćenih edukativnim aktivnostima na godišnjoj razini.</w:t>
            </w:r>
          </w:p>
        </w:tc>
      </w:tr>
      <w:tr w:rsidR="008E6E79">
        <w:tblPrEx>
          <w:tblCellMar>
            <w:top w:w="0" w:type="dxa"/>
            <w:bottom w:w="0" w:type="dxa"/>
          </w:tblCellMar>
        </w:tblPrEx>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Edukacija djevojaka i žena Romkinja o reproduktivnom zdravlju i planiranju obitelji.</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Nastavni zavod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Suradnici:</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8E6E79">
            <w:pPr>
              <w:rPr>
                <w:rFonts w:eastAsia="Calibri"/>
                <w:szCs w:val="22"/>
              </w:rPr>
            </w:pPr>
          </w:p>
          <w:p w:rsidR="008E6E79" w:rsidRDefault="008E6E79">
            <w:pPr>
              <w:rPr>
                <w:rFonts w:eastAsia="Calibri"/>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i gradski i općinski proračuni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Proračun Nastavnog zavoda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 xml:space="preserve">Državni proračun na liniji </w:t>
            </w:r>
            <w:r>
              <w:rPr>
                <w:rFonts w:eastAsia="Calibri"/>
                <w:sz w:val="22"/>
                <w:szCs w:val="22"/>
              </w:rPr>
              <w:t>provedbe Nacionalne strategije.</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programi i projekti iz područja zdravstva.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Povećano znanje žena Romkinja o reproduktivnom zdravlju i planiranju obitelji.</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održanih edukacija;</w:t>
            </w:r>
          </w:p>
          <w:p w:rsidR="008E6E79" w:rsidRDefault="009F7D9A">
            <w:pPr>
              <w:rPr>
                <w:rFonts w:eastAsia="Calibri"/>
                <w:szCs w:val="22"/>
              </w:rPr>
            </w:pPr>
            <w:r>
              <w:rPr>
                <w:rFonts w:eastAsia="Calibri"/>
                <w:sz w:val="22"/>
                <w:szCs w:val="22"/>
              </w:rPr>
              <w:t>Broj Romkinja obuhvaćenih edukativnim aktivn</w:t>
            </w:r>
            <w:r>
              <w:rPr>
                <w:rFonts w:eastAsia="Calibri"/>
                <w:sz w:val="22"/>
                <w:szCs w:val="22"/>
              </w:rPr>
              <w:t>ostima na godišnjoj razini;</w:t>
            </w:r>
          </w:p>
          <w:p w:rsidR="008E6E79" w:rsidRDefault="009F7D9A">
            <w:pPr>
              <w:rPr>
                <w:rFonts w:eastAsia="Calibri"/>
                <w:szCs w:val="22"/>
              </w:rPr>
            </w:pPr>
            <w:r>
              <w:rPr>
                <w:rFonts w:eastAsia="Calibri"/>
                <w:sz w:val="22"/>
                <w:szCs w:val="22"/>
              </w:rPr>
              <w:t>Broj maloljetničkih trudnoća</w:t>
            </w:r>
          </w:p>
        </w:tc>
      </w:tr>
      <w:tr w:rsidR="008E6E79">
        <w:tblPrEx>
          <w:tblCellMar>
            <w:top w:w="0" w:type="dxa"/>
            <w:bottom w:w="0" w:type="dxa"/>
          </w:tblCellMar>
        </w:tblPrEx>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Edukacija mladića i muškaraca o spolnom zdravlju i planiranju obitelji.</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Županijski Nastavni zavod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Suradnici:</w:t>
            </w:r>
          </w:p>
          <w:p w:rsidR="008E6E79" w:rsidRDefault="009F7D9A">
            <w:pPr>
              <w:rPr>
                <w:rFonts w:eastAsia="Calibri"/>
                <w:szCs w:val="22"/>
              </w:rPr>
            </w:pPr>
            <w:r>
              <w:rPr>
                <w:rFonts w:eastAsia="Calibri"/>
                <w:sz w:val="22"/>
                <w:szCs w:val="22"/>
              </w:rPr>
              <w:t xml:space="preserve">Vijeća </w:t>
            </w:r>
            <w:r>
              <w:rPr>
                <w:rFonts w:eastAsia="Calibri"/>
                <w:sz w:val="22"/>
                <w:szCs w:val="22"/>
              </w:rPr>
              <w:t>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8E6E79">
            <w:pPr>
              <w:rPr>
                <w:rFonts w:eastAsia="Calibri"/>
                <w:szCs w:val="22"/>
              </w:rPr>
            </w:pPr>
          </w:p>
          <w:p w:rsidR="008E6E79" w:rsidRDefault="008E6E79">
            <w:pPr>
              <w:rPr>
                <w:rFonts w:eastAsia="Calibri"/>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i gradski i općinski proračuni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Proračun Nastavnog  zavoda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na liniji provedbe Na</w:t>
            </w:r>
            <w:r>
              <w:rPr>
                <w:rFonts w:eastAsia="Calibri"/>
                <w:sz w:val="22"/>
                <w:szCs w:val="22"/>
              </w:rPr>
              <w:t>cionalne strategije.</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programi i projekti iz područja zdravstva.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Povećano znanje mladića i muškaraca Roma o spolnom zdravlju i planiranju obitelji.</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6E79" w:rsidRDefault="009F7D9A">
            <w:pPr>
              <w:rPr>
                <w:rFonts w:eastAsia="Calibri"/>
                <w:szCs w:val="22"/>
              </w:rPr>
            </w:pPr>
            <w:r>
              <w:rPr>
                <w:rFonts w:eastAsia="Calibri"/>
                <w:sz w:val="22"/>
                <w:szCs w:val="22"/>
              </w:rPr>
              <w:t>Broj održanih edukacija;</w:t>
            </w:r>
          </w:p>
          <w:p w:rsidR="008E6E79" w:rsidRDefault="009F7D9A">
            <w:pPr>
              <w:rPr>
                <w:rFonts w:eastAsia="Calibri"/>
                <w:szCs w:val="22"/>
              </w:rPr>
            </w:pPr>
            <w:r>
              <w:rPr>
                <w:rFonts w:eastAsia="Calibri"/>
                <w:sz w:val="22"/>
                <w:szCs w:val="22"/>
              </w:rPr>
              <w:t>Broj Roma obuhvaćenih edukativnim aktivnostima na g</w:t>
            </w:r>
            <w:r>
              <w:rPr>
                <w:rFonts w:eastAsia="Calibri"/>
                <w:sz w:val="22"/>
                <w:szCs w:val="22"/>
              </w:rPr>
              <w:t>odišnjoj razini.</w:t>
            </w:r>
          </w:p>
        </w:tc>
      </w:tr>
    </w:tbl>
    <w:p w:rsidR="008E6E79" w:rsidRDefault="008E6E79">
      <w:pPr>
        <w:tabs>
          <w:tab w:val="left" w:pos="3825"/>
        </w:tabs>
      </w:pPr>
    </w:p>
    <w:p w:rsidR="008E6E79" w:rsidRDefault="009F7D9A">
      <w:pPr>
        <w:tabs>
          <w:tab w:val="left" w:pos="3825"/>
        </w:tabs>
        <w:rPr>
          <w:b/>
        </w:rPr>
      </w:pPr>
      <w:r>
        <w:rPr>
          <w:b/>
        </w:rPr>
        <w:t>4.4.2. Sprječavanje širenja zaraznih bolesti</w:t>
      </w:r>
    </w:p>
    <w:tbl>
      <w:tblPr>
        <w:tblW w:w="9084" w:type="dxa"/>
        <w:tblCellMar>
          <w:left w:w="10" w:type="dxa"/>
          <w:right w:w="10" w:type="dxa"/>
        </w:tblCellMar>
        <w:tblLook w:val="0000" w:firstRow="0" w:lastRow="0" w:firstColumn="0" w:lastColumn="0" w:noHBand="0" w:noVBand="0"/>
      </w:tblPr>
      <w:tblGrid>
        <w:gridCol w:w="1672"/>
        <w:gridCol w:w="1506"/>
        <w:gridCol w:w="1439"/>
        <w:gridCol w:w="1646"/>
        <w:gridCol w:w="1317"/>
        <w:gridCol w:w="1504"/>
      </w:tblGrid>
      <w:tr w:rsidR="008E6E79">
        <w:tblPrEx>
          <w:tblCellMar>
            <w:top w:w="0" w:type="dxa"/>
            <w:bottom w:w="0" w:type="dxa"/>
          </w:tblCellMar>
        </w:tblPrEx>
        <w:tc>
          <w:tcPr>
            <w:tcW w:w="1672"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06"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3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646"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317"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0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Edukacija o prevenciji zaraznih bolesti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 xml:space="preserve">Primorsko-goranska </w:t>
            </w:r>
            <w:r>
              <w:rPr>
                <w:rFonts w:eastAsia="Calibri"/>
                <w:sz w:val="22"/>
                <w:szCs w:val="22"/>
              </w:rPr>
              <w:t>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Nastavni zavod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Suradnici:</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8E6E79">
            <w:pPr>
              <w:rPr>
                <w:rFonts w:eastAsia="Calibri"/>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i gradski proračuni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 xml:space="preserve">Proračun </w:t>
            </w:r>
            <w:r>
              <w:rPr>
                <w:rFonts w:eastAsia="Calibri"/>
                <w:sz w:val="22"/>
                <w:szCs w:val="22"/>
              </w:rPr>
              <w:t>Nastavnog zavoda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na liniji provedbe Nacionalne strategije.</w:t>
            </w:r>
          </w:p>
          <w:p w:rsidR="008E6E79" w:rsidRDefault="008E6E79">
            <w:pPr>
              <w:rPr>
                <w:rFonts w:eastAsia="Calibri"/>
                <w:szCs w:val="22"/>
              </w:rPr>
            </w:pPr>
          </w:p>
          <w:p w:rsidR="008E6E79" w:rsidRDefault="009F7D9A">
            <w:pPr>
              <w:rPr>
                <w:rFonts w:eastAsia="Calibri"/>
                <w:szCs w:val="22"/>
              </w:rPr>
            </w:pPr>
            <w:r>
              <w:rPr>
                <w:rFonts w:eastAsia="Calibri"/>
                <w:sz w:val="22"/>
                <w:szCs w:val="22"/>
              </w:rPr>
              <w:t>Državni proračun; programi i projekti iz područja zdravstva.</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Povećano znanje Roma o načinima sprječavanja širenja zaraznih bolesti, važnosti ranog otkrivanja </w:t>
            </w:r>
            <w:r>
              <w:rPr>
                <w:rFonts w:eastAsia="Calibri"/>
                <w:sz w:val="22"/>
                <w:szCs w:val="22"/>
              </w:rPr>
              <w:t>i liječenja.</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održanih edukacija;</w:t>
            </w:r>
          </w:p>
          <w:p w:rsidR="008E6E79" w:rsidRDefault="009F7D9A">
            <w:pPr>
              <w:rPr>
                <w:rFonts w:eastAsia="Calibri"/>
                <w:szCs w:val="22"/>
              </w:rPr>
            </w:pPr>
            <w:r>
              <w:rPr>
                <w:rFonts w:eastAsia="Calibri"/>
                <w:sz w:val="22"/>
                <w:szCs w:val="22"/>
              </w:rPr>
              <w:t>Broj Roma obuhvaćenih edukativnim aktivnostima na godišnjoj razini;</w:t>
            </w:r>
          </w:p>
          <w:p w:rsidR="008E6E79" w:rsidRDefault="009F7D9A">
            <w:pPr>
              <w:rPr>
                <w:rFonts w:eastAsia="Calibri"/>
                <w:szCs w:val="22"/>
              </w:rPr>
            </w:pPr>
            <w:proofErr w:type="spellStart"/>
            <w:r>
              <w:rPr>
                <w:rFonts w:eastAsia="Calibri"/>
                <w:sz w:val="22"/>
                <w:szCs w:val="22"/>
              </w:rPr>
              <w:t>Prevalencija</w:t>
            </w:r>
            <w:proofErr w:type="spellEnd"/>
            <w:r>
              <w:rPr>
                <w:rFonts w:eastAsia="Calibri"/>
                <w:sz w:val="22"/>
                <w:szCs w:val="22"/>
              </w:rPr>
              <w:t xml:space="preserve"> i </w:t>
            </w:r>
            <w:proofErr w:type="spellStart"/>
            <w:r>
              <w:rPr>
                <w:rFonts w:eastAsia="Calibri"/>
                <w:sz w:val="22"/>
                <w:szCs w:val="22"/>
              </w:rPr>
              <w:t>incidencija</w:t>
            </w:r>
            <w:proofErr w:type="spellEnd"/>
            <w:r>
              <w:rPr>
                <w:rFonts w:eastAsia="Calibri"/>
                <w:sz w:val="22"/>
                <w:szCs w:val="22"/>
              </w:rPr>
              <w:t xml:space="preserve"> zarazih bolesti.</w:t>
            </w:r>
          </w:p>
        </w:tc>
      </w:tr>
      <w:tr w:rsidR="008E6E79">
        <w:tblPrEx>
          <w:tblCellMar>
            <w:top w:w="0" w:type="dxa"/>
            <w:bottom w:w="0" w:type="dxa"/>
          </w:tblCellMar>
        </w:tblPrEx>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Povećanje procijepljenosti djece</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Nastavni zavod za javno zdravstvo</w:t>
            </w:r>
          </w:p>
          <w:p w:rsidR="008E6E79" w:rsidRDefault="008E6E79">
            <w:pPr>
              <w:rPr>
                <w:rFonts w:eastAsia="Calibri"/>
                <w:szCs w:val="22"/>
              </w:rPr>
            </w:pPr>
          </w:p>
          <w:p w:rsidR="008E6E79" w:rsidRDefault="009F7D9A">
            <w:pPr>
              <w:rPr>
                <w:rFonts w:eastAsia="Calibri"/>
                <w:szCs w:val="22"/>
              </w:rPr>
            </w:pPr>
            <w:r>
              <w:rPr>
                <w:rFonts w:eastAsia="Calibri"/>
                <w:sz w:val="22"/>
                <w:szCs w:val="22"/>
              </w:rPr>
              <w:t>Suradnici:</w:t>
            </w:r>
          </w:p>
          <w:p w:rsidR="008E6E79" w:rsidRDefault="009F7D9A">
            <w:pPr>
              <w:rPr>
                <w:rFonts w:eastAsia="Calibri"/>
                <w:szCs w:val="22"/>
              </w:rPr>
            </w:pPr>
            <w:r>
              <w:rPr>
                <w:rFonts w:eastAsia="Calibri"/>
                <w:sz w:val="22"/>
                <w:szCs w:val="22"/>
              </w:rPr>
              <w:t xml:space="preserve">Vijeća romske nacionalne manjine na regionalnoj i lokalnoj razini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Državni proračun – redovna djelatnost.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Povećan broj romske djece cijepljen na zarazne bolesti na koje se cijepi opća populacija.</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cijepljene djece;</w:t>
            </w:r>
          </w:p>
          <w:p w:rsidR="008E6E79" w:rsidRDefault="009F7D9A">
            <w:pPr>
              <w:rPr>
                <w:rFonts w:eastAsia="Calibri"/>
                <w:szCs w:val="22"/>
              </w:rPr>
            </w:pPr>
            <w:proofErr w:type="spellStart"/>
            <w:r>
              <w:rPr>
                <w:rFonts w:eastAsia="Calibri"/>
                <w:sz w:val="22"/>
                <w:szCs w:val="22"/>
              </w:rPr>
              <w:t>Prevalencija</w:t>
            </w:r>
            <w:proofErr w:type="spellEnd"/>
            <w:r>
              <w:rPr>
                <w:rFonts w:eastAsia="Calibri"/>
                <w:sz w:val="22"/>
                <w:szCs w:val="22"/>
              </w:rPr>
              <w:t xml:space="preserve"> i </w:t>
            </w:r>
            <w:proofErr w:type="spellStart"/>
            <w:r>
              <w:rPr>
                <w:rFonts w:eastAsia="Calibri"/>
                <w:sz w:val="22"/>
                <w:szCs w:val="22"/>
              </w:rPr>
              <w:t>incidencija</w:t>
            </w:r>
            <w:proofErr w:type="spellEnd"/>
            <w:r>
              <w:rPr>
                <w:rFonts w:eastAsia="Calibri"/>
                <w:sz w:val="22"/>
                <w:szCs w:val="22"/>
              </w:rPr>
              <w:t xml:space="preserve"> zaraznih bolesti koje je moguće spriječiti cijepljenjem.</w:t>
            </w:r>
          </w:p>
        </w:tc>
      </w:tr>
      <w:tr w:rsidR="008E6E79">
        <w:tblPrEx>
          <w:tblCellMar>
            <w:top w:w="0" w:type="dxa"/>
            <w:bottom w:w="0" w:type="dxa"/>
          </w:tblCellMar>
        </w:tblPrEx>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Osiguravanje zdravstveno ispravne vode za piće</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Nastavni zavod za javno zdravstvo</w:t>
            </w:r>
          </w:p>
          <w:p w:rsidR="008E6E79" w:rsidRDefault="008E6E79">
            <w:pPr>
              <w:rPr>
                <w:rFonts w:eastAsia="Calibri"/>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za 2018. i 2019. godinu – redovna djelatnost</w:t>
            </w:r>
          </w:p>
          <w:p w:rsidR="008E6E79" w:rsidRDefault="008E6E79">
            <w:pPr>
              <w:rPr>
                <w:rFonts w:eastAsia="Calibri"/>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Osigurana zdravstveno ispravna voda za piće.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analiziranih vodocrpilišta;</w:t>
            </w:r>
          </w:p>
          <w:p w:rsidR="008E6E79" w:rsidRDefault="009F7D9A">
            <w:pPr>
              <w:rPr>
                <w:rFonts w:eastAsia="Calibri"/>
                <w:szCs w:val="22"/>
              </w:rPr>
            </w:pPr>
            <w:r>
              <w:rPr>
                <w:rFonts w:eastAsia="Calibri"/>
                <w:sz w:val="22"/>
                <w:szCs w:val="22"/>
              </w:rPr>
              <w:t>Učestalost analiziranja vodocrpilišta;</w:t>
            </w:r>
          </w:p>
          <w:p w:rsidR="008E6E79" w:rsidRDefault="009F7D9A">
            <w:pPr>
              <w:rPr>
                <w:rFonts w:eastAsia="Calibri"/>
                <w:szCs w:val="22"/>
              </w:rPr>
            </w:pPr>
            <w:r>
              <w:rPr>
                <w:rFonts w:eastAsia="Calibri"/>
                <w:sz w:val="22"/>
                <w:szCs w:val="22"/>
              </w:rPr>
              <w:t>Ostvarena dostupnost vode putem cisterni ili na drugi način</w:t>
            </w:r>
            <w:r>
              <w:rPr>
                <w:rFonts w:eastAsia="Calibri"/>
                <w:sz w:val="22"/>
                <w:szCs w:val="22"/>
              </w:rPr>
              <w:t xml:space="preserve"> u slučaju zagađenja.</w:t>
            </w:r>
          </w:p>
        </w:tc>
      </w:tr>
      <w:tr w:rsidR="008E6E79">
        <w:tblPrEx>
          <w:tblCellMar>
            <w:top w:w="0" w:type="dxa"/>
            <w:bottom w:w="0" w:type="dxa"/>
          </w:tblCellMar>
        </w:tblPrEx>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Preventivne DDD mjere</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Gradovi i općine,</w:t>
            </w:r>
          </w:p>
          <w:p w:rsidR="008E6E79" w:rsidRDefault="009F7D9A">
            <w:pPr>
              <w:rPr>
                <w:rFonts w:eastAsia="Calibri"/>
                <w:szCs w:val="22"/>
              </w:rPr>
            </w:pPr>
            <w:r>
              <w:rPr>
                <w:rFonts w:eastAsia="Calibri"/>
                <w:sz w:val="22"/>
                <w:szCs w:val="22"/>
              </w:rPr>
              <w:t>Nastavni zavod za javno zdravstvo</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Županijski, gradski i općinski proračuni za 2018. i 2019. godinu – redovna djelatnost</w:t>
            </w:r>
          </w:p>
          <w:p w:rsidR="008E6E79" w:rsidRDefault="008E6E79">
            <w:pPr>
              <w:rPr>
                <w:rFonts w:eastAsia="Calibri"/>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 xml:space="preserve">Regulirana </w:t>
            </w:r>
            <w:r>
              <w:rPr>
                <w:rFonts w:eastAsia="Calibri"/>
                <w:sz w:val="22"/>
                <w:szCs w:val="22"/>
              </w:rPr>
              <w:t>populacija glodavaca i insekata.</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Učestalost provođenja DDD mjera;</w:t>
            </w:r>
          </w:p>
          <w:p w:rsidR="008E6E79" w:rsidRDefault="009F7D9A">
            <w:pPr>
              <w:rPr>
                <w:rFonts w:eastAsia="Calibri"/>
                <w:szCs w:val="22"/>
              </w:rPr>
            </w:pPr>
            <w:proofErr w:type="spellStart"/>
            <w:r>
              <w:rPr>
                <w:rFonts w:eastAsia="Calibri"/>
                <w:sz w:val="22"/>
                <w:szCs w:val="22"/>
              </w:rPr>
              <w:t>Prevalencija</w:t>
            </w:r>
            <w:proofErr w:type="spellEnd"/>
            <w:r>
              <w:rPr>
                <w:rFonts w:eastAsia="Calibri"/>
                <w:sz w:val="22"/>
                <w:szCs w:val="22"/>
              </w:rPr>
              <w:t xml:space="preserve"> i </w:t>
            </w:r>
            <w:proofErr w:type="spellStart"/>
            <w:r>
              <w:rPr>
                <w:rFonts w:eastAsia="Calibri"/>
                <w:sz w:val="22"/>
                <w:szCs w:val="22"/>
              </w:rPr>
              <w:t>incidencija</w:t>
            </w:r>
            <w:proofErr w:type="spellEnd"/>
            <w:r>
              <w:rPr>
                <w:rFonts w:eastAsia="Calibri"/>
                <w:sz w:val="22"/>
                <w:szCs w:val="22"/>
              </w:rPr>
              <w:t xml:space="preserve"> </w:t>
            </w:r>
            <w:proofErr w:type="spellStart"/>
            <w:r>
              <w:rPr>
                <w:rFonts w:eastAsia="Calibri"/>
                <w:sz w:val="22"/>
                <w:szCs w:val="22"/>
              </w:rPr>
              <w:t>zoonotskih</w:t>
            </w:r>
            <w:proofErr w:type="spellEnd"/>
            <w:r>
              <w:rPr>
                <w:rFonts w:eastAsia="Calibri"/>
                <w:sz w:val="22"/>
                <w:szCs w:val="22"/>
              </w:rPr>
              <w:t xml:space="preserve"> zaraznih bolesti.</w:t>
            </w:r>
          </w:p>
        </w:tc>
      </w:tr>
    </w:tbl>
    <w:p w:rsidR="008E6E79" w:rsidRDefault="008E6E79">
      <w:pPr>
        <w:tabs>
          <w:tab w:val="left" w:pos="3825"/>
        </w:tabs>
        <w:rPr>
          <w:sz w:val="28"/>
        </w:rPr>
      </w:pPr>
    </w:p>
    <w:p w:rsidR="008E6E79" w:rsidRDefault="009F7D9A">
      <w:pPr>
        <w:tabs>
          <w:tab w:val="left" w:pos="3825"/>
        </w:tabs>
        <w:rPr>
          <w:b/>
        </w:rPr>
      </w:pPr>
      <w:r>
        <w:rPr>
          <w:b/>
        </w:rPr>
        <w:t>4.4.3. Povećanje dostupnosti i prihvatljivosti zdravstvene zaštite</w:t>
      </w:r>
    </w:p>
    <w:tbl>
      <w:tblPr>
        <w:tblW w:w="9065" w:type="dxa"/>
        <w:tblCellMar>
          <w:left w:w="10" w:type="dxa"/>
          <w:right w:w="10" w:type="dxa"/>
        </w:tblCellMar>
        <w:tblLook w:val="0000" w:firstRow="0" w:lastRow="0" w:firstColumn="0" w:lastColumn="0" w:noHBand="0" w:noVBand="0"/>
      </w:tblPr>
      <w:tblGrid>
        <w:gridCol w:w="1673"/>
        <w:gridCol w:w="1521"/>
        <w:gridCol w:w="1439"/>
        <w:gridCol w:w="1673"/>
        <w:gridCol w:w="1248"/>
        <w:gridCol w:w="1511"/>
      </w:tblGrid>
      <w:tr w:rsidR="008E6E79">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21"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3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67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24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11"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Pružanje besplatne pravne pomoći za ostvarivanje prava na ZO</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w:t>
            </w:r>
            <w:r>
              <w:rPr>
                <w:rFonts w:eastAsia="Calibri"/>
                <w:sz w:val="22"/>
                <w:szCs w:val="22"/>
              </w:rPr>
              <w:t>organizacije:</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9F7D9A">
            <w:pPr>
              <w:rPr>
                <w:rFonts w:eastAsia="Calibri"/>
                <w:szCs w:val="22"/>
              </w:rPr>
            </w:pPr>
            <w:r>
              <w:rPr>
                <w:rFonts w:eastAsia="Calibri"/>
                <w:sz w:val="22"/>
                <w:szCs w:val="22"/>
              </w:rPr>
              <w:t>Hrvatska odvjetnička komora.</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proračuni 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Ministarstvo pravosuđa – program BPP.</w:t>
            </w:r>
          </w:p>
          <w:p w:rsidR="008E6E79" w:rsidRDefault="008E6E79">
            <w:pPr>
              <w:rPr>
                <w:rFonts w:eastAsia="Calibri"/>
                <w:szCs w:val="22"/>
              </w:rPr>
            </w:pPr>
          </w:p>
          <w:p w:rsidR="008E6E79" w:rsidRDefault="009F7D9A">
            <w:pPr>
              <w:rPr>
                <w:rFonts w:eastAsia="Calibri"/>
                <w:szCs w:val="22"/>
              </w:rPr>
            </w:pPr>
            <w:r>
              <w:rPr>
                <w:rFonts w:eastAsia="Calibri"/>
                <w:sz w:val="22"/>
                <w:szCs w:val="22"/>
              </w:rPr>
              <w:t>Hrvatska odvjetnička komora – redovna dj</w:t>
            </w:r>
            <w:r>
              <w:rPr>
                <w:rFonts w:eastAsia="Calibri"/>
                <w:sz w:val="22"/>
                <w:szCs w:val="22"/>
              </w:rPr>
              <w:t>elatnost, BPP.</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Povećan broj Roma sa zdravstvenim osiguranjem.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koji su se zdravstveno osigurali na godišnjoj razini</w:t>
            </w:r>
          </w:p>
        </w:tc>
      </w:tr>
    </w:tbl>
    <w:p w:rsidR="008E6E79" w:rsidRDefault="008E6E79">
      <w:pPr>
        <w:tabs>
          <w:tab w:val="left" w:pos="3825"/>
        </w:tabs>
        <w:rPr>
          <w:b/>
        </w:rPr>
      </w:pPr>
    </w:p>
    <w:p w:rsidR="008E6E79" w:rsidRDefault="008E6E79">
      <w:pPr>
        <w:tabs>
          <w:tab w:val="left" w:pos="3825"/>
        </w:tabs>
        <w:rPr>
          <w:sz w:val="28"/>
        </w:rPr>
      </w:pPr>
    </w:p>
    <w:p w:rsidR="008E6E79" w:rsidRDefault="009F7D9A">
      <w:pPr>
        <w:tabs>
          <w:tab w:val="left" w:pos="3825"/>
        </w:tabs>
        <w:rPr>
          <w:b/>
          <w:szCs w:val="24"/>
        </w:rPr>
      </w:pPr>
      <w:r>
        <w:rPr>
          <w:b/>
          <w:szCs w:val="24"/>
        </w:rPr>
        <w:t>4.5. Statusna pitanja</w:t>
      </w:r>
    </w:p>
    <w:p w:rsidR="008E6E79" w:rsidRDefault="009F7D9A">
      <w:pPr>
        <w:tabs>
          <w:tab w:val="left" w:pos="3825"/>
        </w:tabs>
      </w:pPr>
      <w:r>
        <w:rPr>
          <w:b/>
        </w:rPr>
        <w:t>Opći cilj</w:t>
      </w:r>
      <w:r>
        <w:t>: Osigurati prava Roma na priznavanje statusa.</w:t>
      </w:r>
    </w:p>
    <w:p w:rsidR="008E6E79" w:rsidRDefault="009F7D9A">
      <w:pPr>
        <w:tabs>
          <w:tab w:val="left" w:pos="3825"/>
        </w:tabs>
      </w:pPr>
      <w:r>
        <w:rPr>
          <w:b/>
        </w:rPr>
        <w:t>Specifični ciljevi</w:t>
      </w:r>
      <w:r>
        <w:t>:</w:t>
      </w:r>
    </w:p>
    <w:p w:rsidR="008E6E79" w:rsidRDefault="009F7D9A">
      <w:pPr>
        <w:pStyle w:val="ListParagraph"/>
        <w:numPr>
          <w:ilvl w:val="0"/>
          <w:numId w:val="6"/>
        </w:numPr>
        <w:tabs>
          <w:tab w:val="left" w:pos="3825"/>
        </w:tabs>
        <w:jc w:val="both"/>
      </w:pPr>
      <w:proofErr w:type="spellStart"/>
      <w:r>
        <w:t>Rješiti</w:t>
      </w:r>
      <w:proofErr w:type="spellEnd"/>
      <w:r>
        <w:t xml:space="preserve"> pitanje </w:t>
      </w:r>
      <w:r>
        <w:t>hrvatskog državljanstva Roma.</w:t>
      </w:r>
    </w:p>
    <w:p w:rsidR="008E6E79" w:rsidRDefault="009F7D9A">
      <w:pPr>
        <w:pStyle w:val="ListParagraph"/>
        <w:numPr>
          <w:ilvl w:val="0"/>
          <w:numId w:val="6"/>
        </w:numPr>
        <w:tabs>
          <w:tab w:val="left" w:pos="3825"/>
        </w:tabs>
        <w:jc w:val="both"/>
      </w:pPr>
      <w:r>
        <w:t>Urediti prebivalište Roma.</w:t>
      </w:r>
    </w:p>
    <w:p w:rsidR="008E6E79" w:rsidRDefault="008E6E79">
      <w:pPr>
        <w:pStyle w:val="ListParagraph"/>
        <w:tabs>
          <w:tab w:val="left" w:pos="3825"/>
        </w:tabs>
        <w:rPr>
          <w:b/>
          <w:sz w:val="28"/>
        </w:rPr>
      </w:pPr>
    </w:p>
    <w:p w:rsidR="008E6E79" w:rsidRDefault="009F7D9A">
      <w:pPr>
        <w:pStyle w:val="ListParagraph"/>
        <w:tabs>
          <w:tab w:val="left" w:pos="3825"/>
        </w:tabs>
        <w:jc w:val="center"/>
        <w:rPr>
          <w:rFonts w:ascii="Arial" w:hAnsi="Arial" w:cs="Arial"/>
          <w:b/>
          <w:sz w:val="24"/>
          <w:szCs w:val="24"/>
        </w:rPr>
      </w:pPr>
      <w:r>
        <w:rPr>
          <w:rFonts w:ascii="Arial" w:hAnsi="Arial" w:cs="Arial"/>
          <w:b/>
          <w:sz w:val="24"/>
          <w:szCs w:val="24"/>
        </w:rPr>
        <w:t>MJERE I AKTIVNOSTI</w:t>
      </w:r>
    </w:p>
    <w:p w:rsidR="008E6E79" w:rsidRDefault="009F7D9A">
      <w:pPr>
        <w:tabs>
          <w:tab w:val="left" w:pos="3825"/>
        </w:tabs>
        <w:rPr>
          <w:b/>
        </w:rPr>
      </w:pPr>
      <w:r>
        <w:rPr>
          <w:b/>
        </w:rPr>
        <w:t>4.5.1. Stjecanje hrvatskog državljanstva i boravak stranaca</w:t>
      </w:r>
    </w:p>
    <w:tbl>
      <w:tblPr>
        <w:tblW w:w="9116" w:type="dxa"/>
        <w:tblCellMar>
          <w:left w:w="10" w:type="dxa"/>
          <w:right w:w="10" w:type="dxa"/>
        </w:tblCellMar>
        <w:tblLook w:val="0000" w:firstRow="0" w:lastRow="0" w:firstColumn="0" w:lastColumn="0" w:noHBand="0" w:noVBand="0"/>
      </w:tblPr>
      <w:tblGrid>
        <w:gridCol w:w="1673"/>
        <w:gridCol w:w="1521"/>
        <w:gridCol w:w="1439"/>
        <w:gridCol w:w="1673"/>
        <w:gridCol w:w="1248"/>
        <w:gridCol w:w="1562"/>
      </w:tblGrid>
      <w:tr w:rsidR="008E6E79">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21"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3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 xml:space="preserve">Raspoloživi resursi </w:t>
            </w:r>
          </w:p>
        </w:tc>
        <w:tc>
          <w:tcPr>
            <w:tcW w:w="167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248"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62"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Pružanje besplatne pravne pomoći za stjecanje hrvatskog državljanstva i ispunjavanje obaveza stranaca.</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Nositelji:</w:t>
            </w:r>
          </w:p>
          <w:p w:rsidR="008E6E79" w:rsidRDefault="009F7D9A">
            <w:pPr>
              <w:rPr>
                <w:rFonts w:eastAsia="Calibri"/>
                <w:szCs w:val="22"/>
              </w:rPr>
            </w:pPr>
            <w:r>
              <w:rPr>
                <w:rFonts w:eastAsia="Calibri"/>
                <w:sz w:val="22"/>
                <w:szCs w:val="22"/>
              </w:rPr>
              <w:t>Gradovi i općine</w:t>
            </w:r>
          </w:p>
          <w:p w:rsidR="008E6E79" w:rsidRDefault="008E6E79">
            <w:pPr>
              <w:rPr>
                <w:rFonts w:eastAsia="Calibri"/>
                <w:szCs w:val="22"/>
              </w:rPr>
            </w:pPr>
          </w:p>
          <w:p w:rsidR="008E6E79" w:rsidRDefault="009F7D9A">
            <w:r>
              <w:rPr>
                <w:rFonts w:eastAsia="Calibri"/>
                <w:i/>
                <w:sz w:val="22"/>
                <w:szCs w:val="22"/>
              </w:rPr>
              <w:t>Provedbena tijela</w:t>
            </w:r>
            <w:r>
              <w:rPr>
                <w:rFonts w:eastAsia="Calibri"/>
                <w:sz w:val="22"/>
                <w:szCs w:val="22"/>
              </w:rPr>
              <w:t>:</w:t>
            </w:r>
          </w:p>
          <w:p w:rsidR="008E6E79" w:rsidRDefault="009F7D9A">
            <w:pPr>
              <w:rPr>
                <w:rFonts w:eastAsia="Calibri"/>
                <w:szCs w:val="22"/>
              </w:rPr>
            </w:pPr>
            <w:r>
              <w:rPr>
                <w:rFonts w:eastAsia="Calibri"/>
                <w:sz w:val="22"/>
                <w:szCs w:val="22"/>
              </w:rPr>
              <w:t xml:space="preserve">Odgovarajući upravni odjeli po gradovima i općinama </w:t>
            </w:r>
          </w:p>
          <w:p w:rsidR="008E6E79" w:rsidRDefault="008E6E79">
            <w:pPr>
              <w:rPr>
                <w:rFonts w:eastAsia="Calibri"/>
                <w:szCs w:val="22"/>
              </w:rPr>
            </w:pPr>
          </w:p>
          <w:p w:rsidR="008E6E79" w:rsidRDefault="009F7D9A">
            <w:pPr>
              <w:rPr>
                <w:rFonts w:eastAsia="Calibri"/>
                <w:szCs w:val="22"/>
              </w:rPr>
            </w:pPr>
            <w:proofErr w:type="spellStart"/>
            <w:r>
              <w:rPr>
                <w:rFonts w:eastAsia="Calibri"/>
                <w:sz w:val="22"/>
                <w:szCs w:val="22"/>
              </w:rPr>
              <w:t>Suradne</w:t>
            </w:r>
            <w:proofErr w:type="spellEnd"/>
            <w:r>
              <w:rPr>
                <w:rFonts w:eastAsia="Calibri"/>
                <w:sz w:val="22"/>
                <w:szCs w:val="22"/>
              </w:rPr>
              <w:t xml:space="preserve"> organizacije:</w:t>
            </w:r>
          </w:p>
          <w:p w:rsidR="008E6E79" w:rsidRDefault="009F7D9A">
            <w:pPr>
              <w:rPr>
                <w:rFonts w:eastAsia="Calibri"/>
                <w:szCs w:val="22"/>
              </w:rPr>
            </w:pPr>
            <w:r>
              <w:rPr>
                <w:rFonts w:eastAsia="Calibri"/>
                <w:sz w:val="22"/>
                <w:szCs w:val="22"/>
              </w:rPr>
              <w:t xml:space="preserve">Vijeća romske nacionalne </w:t>
            </w:r>
            <w:r>
              <w:rPr>
                <w:rFonts w:eastAsia="Calibri"/>
                <w:sz w:val="22"/>
                <w:szCs w:val="22"/>
              </w:rPr>
              <w:t>manjine na regionalnoj i lokalnoj razini;</w:t>
            </w:r>
          </w:p>
          <w:p w:rsidR="008E6E79" w:rsidRDefault="009F7D9A">
            <w:pPr>
              <w:rPr>
                <w:rFonts w:eastAsia="Calibri"/>
                <w:szCs w:val="22"/>
              </w:rPr>
            </w:pPr>
            <w:r>
              <w:rPr>
                <w:rFonts w:eastAsia="Calibri"/>
                <w:sz w:val="22"/>
                <w:szCs w:val="22"/>
              </w:rPr>
              <w:t>Organizacije civilnog društva;</w:t>
            </w:r>
          </w:p>
          <w:p w:rsidR="008E6E79" w:rsidRDefault="009F7D9A">
            <w:pPr>
              <w:rPr>
                <w:rFonts w:eastAsia="Calibri"/>
                <w:szCs w:val="22"/>
              </w:rPr>
            </w:pPr>
            <w:r>
              <w:rPr>
                <w:rFonts w:eastAsia="Calibri"/>
                <w:sz w:val="22"/>
                <w:szCs w:val="22"/>
              </w:rPr>
              <w:t>Hrvatska odvjetnička komora.</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Gradski i općinski proračuni za 2018. i 2019.</w:t>
            </w:r>
          </w:p>
          <w:p w:rsidR="008E6E79" w:rsidRDefault="008E6E79">
            <w:pPr>
              <w:rPr>
                <w:rFonts w:eastAsia="Calibri"/>
                <w:szCs w:val="22"/>
              </w:rPr>
            </w:pPr>
          </w:p>
          <w:p w:rsidR="008E6E79" w:rsidRDefault="009F7D9A">
            <w:pPr>
              <w:rPr>
                <w:rFonts w:eastAsia="Calibri"/>
                <w:szCs w:val="22"/>
              </w:rPr>
            </w:pPr>
            <w:r>
              <w:rPr>
                <w:rFonts w:eastAsia="Calibri"/>
                <w:sz w:val="22"/>
                <w:szCs w:val="22"/>
              </w:rPr>
              <w:t>Ministarstvo pravosuđa – program BPP.</w:t>
            </w:r>
          </w:p>
          <w:p w:rsidR="008E6E79" w:rsidRDefault="008E6E79">
            <w:pPr>
              <w:rPr>
                <w:rFonts w:eastAsia="Calibri"/>
                <w:szCs w:val="22"/>
              </w:rPr>
            </w:pPr>
          </w:p>
          <w:p w:rsidR="008E6E79" w:rsidRDefault="009F7D9A">
            <w:pPr>
              <w:rPr>
                <w:rFonts w:eastAsia="Calibri"/>
                <w:szCs w:val="22"/>
              </w:rPr>
            </w:pPr>
            <w:r>
              <w:rPr>
                <w:rFonts w:eastAsia="Calibri"/>
                <w:sz w:val="22"/>
                <w:szCs w:val="22"/>
              </w:rPr>
              <w:t>Hrvatska odvjetnička komora – redovna djelatnost, BPP.</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bez</w:t>
            </w:r>
            <w:r>
              <w:rPr>
                <w:rFonts w:eastAsia="Calibri"/>
                <w:sz w:val="22"/>
                <w:szCs w:val="22"/>
              </w:rPr>
              <w:t xml:space="preserve"> hrvatskog državljanstva sveden na minimum.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Roma koji su stekli hrvatsko državljanstvo;</w:t>
            </w:r>
          </w:p>
          <w:p w:rsidR="008E6E79" w:rsidRDefault="009F7D9A">
            <w:pPr>
              <w:rPr>
                <w:rFonts w:eastAsia="Calibri"/>
                <w:szCs w:val="22"/>
              </w:rPr>
            </w:pPr>
            <w:r>
              <w:rPr>
                <w:rFonts w:eastAsia="Calibri"/>
                <w:sz w:val="22"/>
                <w:szCs w:val="22"/>
              </w:rPr>
              <w:t>Broj stranaca na stalnom boravku;</w:t>
            </w:r>
          </w:p>
          <w:p w:rsidR="008E6E79" w:rsidRDefault="009F7D9A">
            <w:pPr>
              <w:rPr>
                <w:rFonts w:eastAsia="Calibri"/>
                <w:szCs w:val="22"/>
              </w:rPr>
            </w:pPr>
            <w:r>
              <w:rPr>
                <w:rFonts w:eastAsia="Calibri"/>
                <w:sz w:val="22"/>
                <w:szCs w:val="22"/>
              </w:rPr>
              <w:t>Broj stranaca na privremenom boravku;</w:t>
            </w:r>
          </w:p>
          <w:p w:rsidR="008E6E79" w:rsidRDefault="009F7D9A">
            <w:pPr>
              <w:rPr>
                <w:rFonts w:eastAsia="Calibri"/>
                <w:szCs w:val="22"/>
              </w:rPr>
            </w:pPr>
            <w:r>
              <w:rPr>
                <w:rFonts w:eastAsia="Calibri"/>
                <w:sz w:val="22"/>
                <w:szCs w:val="22"/>
              </w:rPr>
              <w:t>Broj apatrida.</w:t>
            </w:r>
          </w:p>
        </w:tc>
      </w:tr>
    </w:tbl>
    <w:p w:rsidR="008E6E79" w:rsidRDefault="008E6E79">
      <w:pPr>
        <w:tabs>
          <w:tab w:val="left" w:pos="3825"/>
        </w:tabs>
        <w:rPr>
          <w:b/>
        </w:rPr>
      </w:pPr>
    </w:p>
    <w:p w:rsidR="008E6E79" w:rsidRDefault="009F7D9A">
      <w:pPr>
        <w:tabs>
          <w:tab w:val="left" w:pos="3825"/>
        </w:tabs>
        <w:rPr>
          <w:b/>
        </w:rPr>
      </w:pPr>
      <w:r>
        <w:rPr>
          <w:b/>
        </w:rPr>
        <w:t>4.5.2. Prebivalište Roma</w:t>
      </w:r>
    </w:p>
    <w:p w:rsidR="008E6E79" w:rsidRDefault="009F7D9A">
      <w:pPr>
        <w:tabs>
          <w:tab w:val="left" w:pos="3825"/>
        </w:tabs>
      </w:pPr>
      <w:r>
        <w:t xml:space="preserve">Mogućnost uređenja prebivališta </w:t>
      </w:r>
      <w:r>
        <w:t>povezana je s mjerama legalizacije i prostornog uređenja, a za njegovo upisivanje primjenjuju se odredbe odgovarajućeg općeg propisa.</w:t>
      </w:r>
    </w:p>
    <w:p w:rsidR="008E6E79" w:rsidRDefault="008E6E79">
      <w:pPr>
        <w:tabs>
          <w:tab w:val="left" w:pos="3825"/>
        </w:tabs>
      </w:pPr>
    </w:p>
    <w:p w:rsidR="008E6E79" w:rsidRDefault="008E6E79">
      <w:pPr>
        <w:tabs>
          <w:tab w:val="left" w:pos="3825"/>
        </w:tabs>
      </w:pPr>
    </w:p>
    <w:p w:rsidR="008E6E79" w:rsidRDefault="009F7D9A">
      <w:pPr>
        <w:tabs>
          <w:tab w:val="left" w:pos="3825"/>
        </w:tabs>
        <w:rPr>
          <w:b/>
          <w:szCs w:val="24"/>
        </w:rPr>
      </w:pPr>
      <w:r>
        <w:rPr>
          <w:b/>
          <w:szCs w:val="24"/>
        </w:rPr>
        <w:t>4.6. Kultura, sport i druge mjere za integraciju Roma</w:t>
      </w:r>
    </w:p>
    <w:p w:rsidR="008E6E79" w:rsidRDefault="009F7D9A">
      <w:pPr>
        <w:tabs>
          <w:tab w:val="left" w:pos="3825"/>
        </w:tabs>
      </w:pPr>
      <w:r>
        <w:rPr>
          <w:b/>
        </w:rPr>
        <w:t>Opći cilj</w:t>
      </w:r>
      <w:r>
        <w:t>: Olakšati integraciju romske nacionalne manjine u većins</w:t>
      </w:r>
      <w:r>
        <w:t>ko stanovništvo.</w:t>
      </w:r>
    </w:p>
    <w:p w:rsidR="008E6E79" w:rsidRDefault="009F7D9A">
      <w:pPr>
        <w:tabs>
          <w:tab w:val="left" w:pos="3825"/>
        </w:tabs>
      </w:pPr>
      <w:r>
        <w:rPr>
          <w:b/>
        </w:rPr>
        <w:t>Specifični ciljevi</w:t>
      </w:r>
      <w:r>
        <w:t>:</w:t>
      </w:r>
    </w:p>
    <w:p w:rsidR="008E6E79" w:rsidRDefault="009F7D9A">
      <w:pPr>
        <w:pStyle w:val="ListParagraph"/>
        <w:numPr>
          <w:ilvl w:val="0"/>
          <w:numId w:val="7"/>
        </w:numPr>
        <w:tabs>
          <w:tab w:val="left" w:pos="3825"/>
        </w:tabs>
        <w:jc w:val="both"/>
      </w:pPr>
      <w:r>
        <w:t>Poticati kulturne i sportske aktivnosti Roma.</w:t>
      </w:r>
    </w:p>
    <w:p w:rsidR="008E6E79" w:rsidRDefault="009F7D9A">
      <w:pPr>
        <w:pStyle w:val="ListParagraph"/>
        <w:numPr>
          <w:ilvl w:val="0"/>
          <w:numId w:val="7"/>
        </w:numPr>
        <w:tabs>
          <w:tab w:val="left" w:pos="3825"/>
        </w:tabs>
        <w:jc w:val="both"/>
      </w:pPr>
      <w:r>
        <w:t>Poticati mjere prevencije kaznenih djela i jačanja sigurnosti.</w:t>
      </w:r>
    </w:p>
    <w:p w:rsidR="008E6E79" w:rsidRDefault="009F7D9A">
      <w:pPr>
        <w:pStyle w:val="ListParagraph"/>
        <w:tabs>
          <w:tab w:val="left" w:pos="3825"/>
        </w:tabs>
        <w:jc w:val="center"/>
        <w:rPr>
          <w:b/>
          <w:sz w:val="28"/>
        </w:rPr>
      </w:pPr>
      <w:r>
        <w:rPr>
          <w:b/>
          <w:sz w:val="28"/>
        </w:rPr>
        <w:t>MJERE I AKTIVNOSTI</w:t>
      </w:r>
    </w:p>
    <w:p w:rsidR="008E6E79" w:rsidRDefault="009F7D9A">
      <w:pPr>
        <w:tabs>
          <w:tab w:val="left" w:pos="3825"/>
        </w:tabs>
      </w:pPr>
      <w:r>
        <w:rPr>
          <w:b/>
        </w:rPr>
        <w:t>4.6.1. Razvoj kulture romske zajednice</w:t>
      </w:r>
    </w:p>
    <w:tbl>
      <w:tblPr>
        <w:tblW w:w="9070" w:type="dxa"/>
        <w:tblCellMar>
          <w:left w:w="10" w:type="dxa"/>
          <w:right w:w="10" w:type="dxa"/>
        </w:tblCellMar>
        <w:tblLook w:val="0000" w:firstRow="0" w:lastRow="0" w:firstColumn="0" w:lastColumn="0" w:noHBand="0" w:noVBand="0"/>
      </w:tblPr>
      <w:tblGrid>
        <w:gridCol w:w="1665"/>
        <w:gridCol w:w="1513"/>
        <w:gridCol w:w="1439"/>
        <w:gridCol w:w="1649"/>
        <w:gridCol w:w="1240"/>
        <w:gridCol w:w="1564"/>
      </w:tblGrid>
      <w:tr w:rsidR="008E6E79">
        <w:tblPrEx>
          <w:tblCellMar>
            <w:top w:w="0" w:type="dxa"/>
            <w:bottom w:w="0" w:type="dxa"/>
          </w:tblCellMar>
        </w:tblPrEx>
        <w:tc>
          <w:tcPr>
            <w:tcW w:w="1665"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Aktivnosti</w:t>
            </w:r>
          </w:p>
        </w:tc>
        <w:tc>
          <w:tcPr>
            <w:tcW w:w="1513"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Nositelji i provedbena tijela</w:t>
            </w:r>
          </w:p>
        </w:tc>
        <w:tc>
          <w:tcPr>
            <w:tcW w:w="143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Raspoloživi</w:t>
            </w:r>
            <w:r>
              <w:rPr>
                <w:rFonts w:eastAsia="Calibri"/>
                <w:b/>
                <w:sz w:val="22"/>
                <w:szCs w:val="22"/>
              </w:rPr>
              <w:t xml:space="preserve"> resursi </w:t>
            </w:r>
          </w:p>
        </w:tc>
        <w:tc>
          <w:tcPr>
            <w:tcW w:w="1649"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Očekivani rezultati</w:t>
            </w:r>
          </w:p>
        </w:tc>
        <w:tc>
          <w:tcPr>
            <w:tcW w:w="1240"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Rokovi provedbe</w:t>
            </w:r>
          </w:p>
        </w:tc>
        <w:tc>
          <w:tcPr>
            <w:tcW w:w="156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E6E79" w:rsidRDefault="009F7D9A">
            <w:pPr>
              <w:rPr>
                <w:rFonts w:eastAsia="Calibri"/>
                <w:b/>
                <w:szCs w:val="22"/>
              </w:rPr>
            </w:pPr>
            <w:r>
              <w:rPr>
                <w:rFonts w:eastAsia="Calibri"/>
                <w:b/>
                <w:sz w:val="22"/>
                <w:szCs w:val="22"/>
              </w:rPr>
              <w:t>Indikatori praćenja</w:t>
            </w:r>
          </w:p>
        </w:tc>
      </w:tr>
      <w:tr w:rsidR="008E6E79">
        <w:tblPrEx>
          <w:tblCellMar>
            <w:top w:w="0" w:type="dxa"/>
            <w:bottom w:w="0" w:type="dxa"/>
          </w:tblCellMar>
        </w:tblPrEx>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Podizanje svijesti o kulturi romske zajednice i čuvanju njene baštine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Nositelj:</w:t>
            </w:r>
          </w:p>
          <w:p w:rsidR="008E6E79" w:rsidRDefault="009F7D9A">
            <w:pPr>
              <w:rPr>
                <w:rFonts w:eastAsia="Calibri"/>
                <w:szCs w:val="22"/>
              </w:rPr>
            </w:pPr>
            <w:r>
              <w:rPr>
                <w:rFonts w:eastAsia="Calibri"/>
                <w:sz w:val="22"/>
                <w:szCs w:val="22"/>
              </w:rPr>
              <w:t>Primorsko-goranska županija</w:t>
            </w:r>
          </w:p>
          <w:p w:rsidR="008E6E79" w:rsidRDefault="008E6E79">
            <w:pPr>
              <w:rPr>
                <w:rFonts w:eastAsia="Calibri"/>
                <w:szCs w:val="22"/>
              </w:rPr>
            </w:pPr>
          </w:p>
          <w:p w:rsidR="008E6E79" w:rsidRDefault="009F7D9A">
            <w:pPr>
              <w:rPr>
                <w:rFonts w:eastAsia="Calibri"/>
                <w:szCs w:val="22"/>
              </w:rPr>
            </w:pPr>
            <w:r>
              <w:rPr>
                <w:rFonts w:eastAsia="Calibri"/>
                <w:sz w:val="22"/>
                <w:szCs w:val="22"/>
              </w:rPr>
              <w:t>Provedbena tijela:</w:t>
            </w:r>
          </w:p>
          <w:p w:rsidR="008E6E79" w:rsidRDefault="009F7D9A">
            <w:pPr>
              <w:rPr>
                <w:rFonts w:eastAsia="Calibri"/>
                <w:szCs w:val="22"/>
              </w:rPr>
            </w:pPr>
            <w:r>
              <w:rPr>
                <w:rFonts w:eastAsia="Calibri"/>
                <w:sz w:val="22"/>
                <w:szCs w:val="22"/>
              </w:rPr>
              <w:t xml:space="preserve">Upravni odjel za kulturu, sport i tehničku kulturu, </w:t>
            </w:r>
            <w:r>
              <w:rPr>
                <w:rFonts w:eastAsia="Calibri"/>
                <w:sz w:val="22"/>
                <w:szCs w:val="22"/>
              </w:rPr>
              <w:t>Ministarstvo kulture</w:t>
            </w:r>
          </w:p>
          <w:p w:rsidR="008E6E79" w:rsidRDefault="008E6E79">
            <w:pPr>
              <w:rPr>
                <w:rFonts w:eastAsia="Calibri"/>
                <w:szCs w:val="22"/>
              </w:rPr>
            </w:pPr>
          </w:p>
          <w:p w:rsidR="008E6E79" w:rsidRDefault="009F7D9A">
            <w:pPr>
              <w:rPr>
                <w:rFonts w:eastAsia="Calibri"/>
                <w:szCs w:val="22"/>
              </w:rPr>
            </w:pPr>
            <w:r>
              <w:rPr>
                <w:rFonts w:eastAsia="Calibri"/>
                <w:sz w:val="22"/>
                <w:szCs w:val="22"/>
              </w:rPr>
              <w:t>Suradnici:</w:t>
            </w:r>
          </w:p>
          <w:p w:rsidR="008E6E79" w:rsidRDefault="009F7D9A">
            <w:pPr>
              <w:rPr>
                <w:rFonts w:eastAsia="Calibri"/>
                <w:szCs w:val="22"/>
              </w:rPr>
            </w:pPr>
            <w:r>
              <w:rPr>
                <w:rFonts w:eastAsia="Calibri"/>
                <w:sz w:val="22"/>
                <w:szCs w:val="22"/>
              </w:rPr>
              <w:t>Vijeća romske nacionalne manjine na regionalnoj i lokalnoj razini;</w:t>
            </w:r>
          </w:p>
          <w:p w:rsidR="008E6E79" w:rsidRDefault="009F7D9A">
            <w:pPr>
              <w:rPr>
                <w:rFonts w:eastAsia="Calibri"/>
                <w:szCs w:val="22"/>
              </w:rPr>
            </w:pPr>
            <w:r>
              <w:rPr>
                <w:rFonts w:eastAsia="Calibri"/>
                <w:sz w:val="22"/>
                <w:szCs w:val="22"/>
              </w:rPr>
              <w:t>Organizacije civilnog društva;</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Županijski proračun za 2018. i 2019. godinu.</w:t>
            </w:r>
          </w:p>
          <w:p w:rsidR="008E6E79" w:rsidRDefault="008E6E79">
            <w:pPr>
              <w:rPr>
                <w:rFonts w:eastAsia="Calibri"/>
                <w:szCs w:val="22"/>
              </w:rPr>
            </w:pPr>
          </w:p>
          <w:p w:rsidR="008E6E79" w:rsidRDefault="009F7D9A">
            <w:pPr>
              <w:rPr>
                <w:rFonts w:eastAsia="Calibri"/>
                <w:szCs w:val="22"/>
              </w:rPr>
            </w:pPr>
            <w:r>
              <w:rPr>
                <w:rFonts w:eastAsia="Calibri"/>
                <w:sz w:val="22"/>
                <w:szCs w:val="22"/>
              </w:rPr>
              <w:t>Savjet za nacionalne manjine – sredstva za udruge i kulturno-umjetnička društva</w:t>
            </w:r>
            <w:r>
              <w:rPr>
                <w:rFonts w:eastAsia="Calibri"/>
                <w:sz w:val="22"/>
                <w:szCs w:val="22"/>
              </w:rPr>
              <w:t>.</w:t>
            </w:r>
          </w:p>
          <w:p w:rsidR="008E6E79" w:rsidRDefault="008E6E79">
            <w:pPr>
              <w:rPr>
                <w:rFonts w:eastAsia="Calibri"/>
                <w:szCs w:val="22"/>
              </w:rPr>
            </w:pPr>
          </w:p>
          <w:p w:rsidR="008E6E79" w:rsidRDefault="009F7D9A">
            <w:pPr>
              <w:rPr>
                <w:rFonts w:eastAsia="Calibri"/>
                <w:szCs w:val="22"/>
              </w:rPr>
            </w:pPr>
            <w:r>
              <w:rPr>
                <w:rFonts w:eastAsia="Calibri"/>
                <w:sz w:val="22"/>
                <w:szCs w:val="22"/>
              </w:rPr>
              <w:t>Ministarstvo kulture – redovna sredstva za jačanje kulturne baštine nacionalnih manjina.</w:t>
            </w:r>
          </w:p>
          <w:p w:rsidR="008E6E79" w:rsidRDefault="008E6E79">
            <w:pPr>
              <w:rPr>
                <w:rFonts w:eastAsia="Calibri"/>
                <w:szCs w:val="22"/>
              </w:rPr>
            </w:pPr>
          </w:p>
          <w:p w:rsidR="008E6E79" w:rsidRDefault="009F7D9A">
            <w:pPr>
              <w:rPr>
                <w:rFonts w:eastAsia="Calibri"/>
                <w:szCs w:val="22"/>
              </w:rPr>
            </w:pPr>
            <w:r>
              <w:rPr>
                <w:rFonts w:eastAsia="Calibri"/>
                <w:sz w:val="22"/>
                <w:szCs w:val="22"/>
              </w:rPr>
              <w:t>Europska unija.</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Razvijena svijest romske populacije o čuvanju kulturne baštine romske zajednice.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2018. – 2019.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79" w:rsidRDefault="009F7D9A">
            <w:pPr>
              <w:rPr>
                <w:rFonts w:eastAsia="Calibri"/>
                <w:szCs w:val="22"/>
              </w:rPr>
            </w:pPr>
            <w:r>
              <w:rPr>
                <w:rFonts w:eastAsia="Calibri"/>
                <w:sz w:val="22"/>
                <w:szCs w:val="22"/>
              </w:rPr>
              <w:t>Broj kulturno-umjetničkih manifestacija;</w:t>
            </w:r>
          </w:p>
          <w:p w:rsidR="008E6E79" w:rsidRDefault="009F7D9A">
            <w:pPr>
              <w:rPr>
                <w:rFonts w:eastAsia="Calibri"/>
                <w:szCs w:val="22"/>
              </w:rPr>
            </w:pPr>
            <w:r>
              <w:rPr>
                <w:rFonts w:eastAsia="Calibri"/>
                <w:sz w:val="22"/>
                <w:szCs w:val="22"/>
              </w:rPr>
              <w:t>Posjećenost</w:t>
            </w:r>
            <w:r>
              <w:rPr>
                <w:rFonts w:eastAsia="Calibri"/>
                <w:sz w:val="22"/>
                <w:szCs w:val="22"/>
              </w:rPr>
              <w:t xml:space="preserve"> kulturno-umjetničkih manifestacija;</w:t>
            </w:r>
          </w:p>
          <w:p w:rsidR="008E6E79" w:rsidRDefault="009F7D9A">
            <w:pPr>
              <w:rPr>
                <w:rFonts w:eastAsia="Calibri"/>
                <w:szCs w:val="22"/>
              </w:rPr>
            </w:pPr>
            <w:r>
              <w:rPr>
                <w:rFonts w:eastAsia="Calibri"/>
                <w:sz w:val="22"/>
                <w:szCs w:val="22"/>
              </w:rPr>
              <w:t>Broj dodijeljenih potpora udrugama i KUD;</w:t>
            </w:r>
          </w:p>
          <w:p w:rsidR="008E6E79" w:rsidRDefault="009F7D9A">
            <w:pPr>
              <w:rPr>
                <w:rFonts w:eastAsia="Calibri"/>
                <w:szCs w:val="22"/>
              </w:rPr>
            </w:pPr>
            <w:r>
              <w:rPr>
                <w:rFonts w:eastAsia="Calibri"/>
                <w:sz w:val="22"/>
                <w:szCs w:val="22"/>
              </w:rPr>
              <w:t>Iznos dodijeljenih sredstava na godišnjoj razini.</w:t>
            </w:r>
          </w:p>
        </w:tc>
      </w:tr>
    </w:tbl>
    <w:p w:rsidR="008E6E79" w:rsidRDefault="008E6E79">
      <w:pPr>
        <w:tabs>
          <w:tab w:val="left" w:pos="3825"/>
        </w:tabs>
        <w:rPr>
          <w:sz w:val="28"/>
        </w:rPr>
      </w:pPr>
    </w:p>
    <w:p w:rsidR="008E6E79" w:rsidRDefault="008E6E79">
      <w:pPr>
        <w:tabs>
          <w:tab w:val="left" w:pos="3825"/>
        </w:tabs>
        <w:rPr>
          <w:sz w:val="28"/>
        </w:rPr>
      </w:pPr>
    </w:p>
    <w:p w:rsidR="008E6E79" w:rsidRDefault="009F7D9A">
      <w:pPr>
        <w:tabs>
          <w:tab w:val="left" w:pos="3825"/>
        </w:tabs>
        <w:rPr>
          <w:b/>
          <w:szCs w:val="24"/>
        </w:rPr>
      </w:pPr>
      <w:r>
        <w:rPr>
          <w:b/>
          <w:szCs w:val="24"/>
        </w:rPr>
        <w:t>5. EVALUACIJA I PRILAGODBE AKCIJSKOG PLANA</w:t>
      </w:r>
    </w:p>
    <w:p w:rsidR="008E6E79" w:rsidRDefault="009F7D9A">
      <w:pPr>
        <w:tabs>
          <w:tab w:val="left" w:pos="3825"/>
        </w:tabs>
      </w:pPr>
      <w:r>
        <w:t xml:space="preserve">Primorsko-goranska županija uspostaviti će sustav unutarnje kontrole provođenja </w:t>
      </w:r>
      <w:r>
        <w:t xml:space="preserve">Akcijskog plana na način da će razraditi poseban plan praćenja na temelju indikatora kako su tabelarno navedeni. Unutarnja evaluacija provest će se protekom svake godine ispunjenja Akcijskog plana. Atlas romskih zajednica </w:t>
      </w:r>
      <w:hyperlink r:id="rId8" w:history="1">
        <w:r>
          <w:rPr>
            <w:rStyle w:val="Hyperlink"/>
          </w:rPr>
          <w:t>http://www.atlas-romskihnaselja.hr/o-atlasu.html</w:t>
        </w:r>
      </w:hyperlink>
      <w:r>
        <w:t xml:space="preserve"> je alat koji je učinkovit u bilježenju intervencija i praćenju njihovih učinaka, te se preporuča njegovo korištenje. Za potrebe unutarnjeg praćenja provedbe Akcijskog plana fo</w:t>
      </w:r>
      <w:r>
        <w:t>rmirat će se povjerenstvo za praćenje koje će se sastojati od predstavnica i predstavnika županijske uprave, gradova u kojima Romi žive u većem broju te organizacija koje predstavljaju Rome. Preporuča se da u povjerenstvu bude jednak broj predstavnika tije</w:t>
      </w:r>
      <w:r>
        <w:t>la regionalne i lokalne samouprave i predstavnika romske nacionalne manjine. Nadalje, provest će se vanjska evaluacija za koju će se angažirati Sveučilište ili agencija koja se bavi istraživanjima provedbe učinaka javnih politika, po isteku Akcijskog plana</w:t>
      </w:r>
      <w:r>
        <w:t xml:space="preserve"> u 2019. godini.</w:t>
      </w:r>
    </w:p>
    <w:p w:rsidR="008E6E79" w:rsidRDefault="009F7D9A">
      <w:pPr>
        <w:tabs>
          <w:tab w:val="left" w:pos="3825"/>
        </w:tabs>
      </w:pPr>
      <w:r>
        <w:t>Mjere i aktivnosti navedene u ovom Akcijskom planu podložne su daljnjim izmjenama i dopunama te detaljnijoj razradi, ovisno o okolnostima koje se mogu mijenjati tijekom provedbe, no ne smiju se izmijeniti ispunjenje nacionalne strategije k</w:t>
      </w:r>
      <w:r>
        <w:t>roz uvodno navedene indikatore koji su prema nacionalnim standardima procijenjeni od najveće važnosti za uključivanje Roma u društvenu zajednicu. U pravilu, izmjene i dopune Akcijskog plana, mogu se prilagođavati raspoloživim financijskim resursima i to na</w:t>
      </w:r>
      <w:r>
        <w:t xml:space="preserve"> način da se, u slučaju nedostatka sredstava odrede samo one mjere koje su provedive, a imaju izravan učinak na smanjenje siromaštva i socijalne isključenosti Roma. U slučaju povećanja sredstava, a posebice putem korištenja EU fondova, mjere se mogu mijenj</w:t>
      </w:r>
      <w:r>
        <w:t>ati i dodavati nove, ali samo na način kojim se ne mijenja prethodno zacrtane indikatore najveće važnosti za uključivanje Roma.</w:t>
      </w:r>
    </w:p>
    <w:p w:rsidR="008E6E79" w:rsidRDefault="008E6E79">
      <w:pPr>
        <w:tabs>
          <w:tab w:val="left" w:pos="3825"/>
        </w:tabs>
      </w:pPr>
    </w:p>
    <w:p w:rsidR="008E6E79" w:rsidRDefault="008E6E79">
      <w:pPr>
        <w:tabs>
          <w:tab w:val="left" w:pos="3825"/>
        </w:tabs>
      </w:pPr>
    </w:p>
    <w:p w:rsidR="008E6E79" w:rsidRDefault="009F7D9A">
      <w:pPr>
        <w:tabs>
          <w:tab w:val="left" w:pos="3825"/>
        </w:tabs>
        <w:rPr>
          <w:b/>
          <w:szCs w:val="24"/>
        </w:rPr>
      </w:pPr>
      <w:r>
        <w:rPr>
          <w:b/>
          <w:szCs w:val="24"/>
        </w:rPr>
        <w:t>6.STUPANJE NA SNAGU</w:t>
      </w:r>
    </w:p>
    <w:p w:rsidR="008E6E79" w:rsidRDefault="009F7D9A">
      <w:pPr>
        <w:tabs>
          <w:tab w:val="left" w:pos="3825"/>
        </w:tabs>
      </w:pPr>
      <w:r>
        <w:rPr>
          <w:szCs w:val="24"/>
        </w:rPr>
        <w:t>Ovaj Akcijski plan stupa na snagu osmi dan od dana objave u Službenim novinama Primorsko-goranske županije</w:t>
      </w:r>
      <w:r>
        <w:rPr>
          <w:szCs w:val="24"/>
        </w:rPr>
        <w:t>.</w:t>
      </w:r>
    </w:p>
    <w:p w:rsidR="008E6E79" w:rsidRDefault="008E6E79">
      <w:pPr>
        <w:pStyle w:val="Default"/>
        <w:jc w:val="both"/>
        <w:rPr>
          <w:color w:val="auto"/>
        </w:rPr>
      </w:pPr>
    </w:p>
    <w:p w:rsidR="008E6E79" w:rsidRDefault="008E6E79"/>
    <w:sectPr w:rsidR="008E6E79">
      <w:footerReference w:type="default" r:id="rId9"/>
      <w:pgSz w:w="11906" w:h="16838"/>
      <w:pgMar w:top="1134" w:right="1134"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9A" w:rsidRDefault="009F7D9A">
      <w:r>
        <w:separator/>
      </w:r>
    </w:p>
  </w:endnote>
  <w:endnote w:type="continuationSeparator" w:id="0">
    <w:p w:rsidR="009F7D9A" w:rsidRDefault="009F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43" w:rsidRDefault="009F7D9A">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41443" w:rsidRDefault="009F7D9A">
                          <w:pPr>
                            <w:pStyle w:val="Footer"/>
                          </w:pPr>
                          <w:r>
                            <w:rPr>
                              <w:rStyle w:val="PageNumber"/>
                            </w:rPr>
                            <w:fldChar w:fldCharType="begin"/>
                          </w:r>
                          <w:r>
                            <w:rPr>
                              <w:rStyle w:val="PageNumber"/>
                            </w:rPr>
                            <w:instrText xml:space="preserve"> PAGE </w:instrText>
                          </w:r>
                          <w:r>
                            <w:rPr>
                              <w:rStyle w:val="PageNumber"/>
                            </w:rPr>
                            <w:fldChar w:fldCharType="separate"/>
                          </w:r>
                          <w:r w:rsidR="008970D0">
                            <w:rPr>
                              <w:rStyle w:val="PageNumber"/>
                              <w:noProof/>
                            </w:rPr>
                            <w:t>20</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741443" w:rsidRDefault="009F7D9A">
                    <w:pPr>
                      <w:pStyle w:val="Footer"/>
                    </w:pPr>
                    <w:r>
                      <w:rPr>
                        <w:rStyle w:val="PageNumber"/>
                      </w:rPr>
                      <w:fldChar w:fldCharType="begin"/>
                    </w:r>
                    <w:r>
                      <w:rPr>
                        <w:rStyle w:val="PageNumber"/>
                      </w:rPr>
                      <w:instrText xml:space="preserve"> PAGE </w:instrText>
                    </w:r>
                    <w:r>
                      <w:rPr>
                        <w:rStyle w:val="PageNumber"/>
                      </w:rPr>
                      <w:fldChar w:fldCharType="separate"/>
                    </w:r>
                    <w:r w:rsidR="008970D0">
                      <w:rPr>
                        <w:rStyle w:val="PageNumber"/>
                        <w:noProof/>
                      </w:rPr>
                      <w:t>20</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9A" w:rsidRDefault="009F7D9A">
      <w:r>
        <w:rPr>
          <w:color w:val="000000"/>
        </w:rPr>
        <w:separator/>
      </w:r>
    </w:p>
  </w:footnote>
  <w:footnote w:type="continuationSeparator" w:id="0">
    <w:p w:rsidR="009F7D9A" w:rsidRDefault="009F7D9A">
      <w:r>
        <w:continuationSeparator/>
      </w:r>
    </w:p>
  </w:footnote>
  <w:footnote w:id="1">
    <w:p w:rsidR="008E6E79" w:rsidRDefault="009F7D9A">
      <w:pPr>
        <w:pStyle w:val="FootnoteText"/>
        <w:jc w:val="both"/>
      </w:pPr>
      <w:r>
        <w:rPr>
          <w:rStyle w:val="FootnoteReference"/>
        </w:rPr>
        <w:footnoteRef/>
      </w:r>
      <w:r>
        <w:t xml:space="preserve"> Popis stanovništva, kućanstava i stanova 2011. Stanovništvo prema državljanstvu, narodnosti, vjeri i materinskom jeziku. Državni zavod za statistiku,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706"/>
    <w:multiLevelType w:val="multilevel"/>
    <w:tmpl w:val="0FBE5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A870A6"/>
    <w:multiLevelType w:val="multilevel"/>
    <w:tmpl w:val="D10E9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EE3A87"/>
    <w:multiLevelType w:val="multilevel"/>
    <w:tmpl w:val="038C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D9366F"/>
    <w:multiLevelType w:val="multilevel"/>
    <w:tmpl w:val="1F8E0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D5609E"/>
    <w:multiLevelType w:val="multilevel"/>
    <w:tmpl w:val="A68A6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3F08F3"/>
    <w:multiLevelType w:val="multilevel"/>
    <w:tmpl w:val="1792B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CF149D"/>
    <w:multiLevelType w:val="multilevel"/>
    <w:tmpl w:val="050E251C"/>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E79"/>
    <w:rsid w:val="008970D0"/>
    <w:rsid w:val="008E6E79"/>
    <w:rsid w:val="009F7D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jc w:val="both"/>
    </w:pPr>
    <w:rPr>
      <w:rFonts w:ascii="Arial" w:eastAsia="Times New Roman" w:hAnsi="Arial"/>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style>
  <w:style w:type="character" w:customStyle="1" w:styleId="TitleChar">
    <w:name w:val="Title Char"/>
    <w:basedOn w:val="DefaultParagraphFont"/>
    <w:rPr>
      <w:rFonts w:ascii="Arial" w:eastAsia="Times New Roman" w:hAnsi="Arial" w:cs="Times New Roman"/>
      <w:sz w:val="24"/>
      <w:szCs w:val="20"/>
      <w:lang w:eastAsia="hr-HR"/>
    </w:rPr>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pPr>
      <w:spacing w:after="268"/>
    </w:pPr>
    <w:rPr>
      <w:rFonts w:cs="Times New Roman"/>
      <w:color w:val="auto"/>
    </w:rPr>
  </w:style>
  <w:style w:type="paragraph" w:styleId="Header">
    <w:name w:val="header"/>
    <w:basedOn w:val="Normal"/>
    <w:pPr>
      <w:widowControl w:val="0"/>
      <w:tabs>
        <w:tab w:val="center" w:pos="4536"/>
        <w:tab w:val="right" w:pos="9072"/>
      </w:tabs>
      <w:autoSpaceDE w:val="0"/>
      <w:jc w:val="left"/>
    </w:pPr>
    <w:rPr>
      <w:rFonts w:ascii="Times New Roman" w:hAnsi="Times New Roman"/>
      <w:sz w:val="20"/>
    </w:rPr>
  </w:style>
  <w:style w:type="character" w:customStyle="1" w:styleId="HeaderChar">
    <w:name w:val="Header Char"/>
    <w:basedOn w:val="DefaultParagraphFont"/>
    <w:rPr>
      <w:rFonts w:ascii="Times New Roman" w:eastAsia="Times New Roman" w:hAnsi="Times New Roman" w:cs="Times New Roman"/>
      <w:sz w:val="20"/>
      <w:szCs w:val="20"/>
      <w:lang w:eastAsia="hr-HR"/>
    </w:rPr>
  </w:style>
  <w:style w:type="character" w:customStyle="1" w:styleId="summarymark1">
    <w:name w:val="summarymark1"/>
    <w:rPr>
      <w:b/>
      <w:bCs/>
      <w:color w:val="FF0000"/>
    </w:rPr>
  </w:style>
  <w:style w:type="paragraph" w:styleId="BodyText">
    <w:name w:val="Body Text"/>
    <w:basedOn w:val="Normal"/>
    <w:rPr>
      <w:rFonts w:ascii="Tahoma" w:hAnsi="Tahoma"/>
      <w:lang w:eastAsia="en-US"/>
    </w:rPr>
  </w:style>
  <w:style w:type="character" w:customStyle="1" w:styleId="BodyTextChar">
    <w:name w:val="Body Text Char"/>
    <w:basedOn w:val="DefaultParagraphFont"/>
    <w:rPr>
      <w:rFonts w:ascii="Tahoma" w:eastAsia="Times New Roman" w:hAnsi="Tahoma" w:cs="Times New Roman"/>
      <w:sz w:val="24"/>
      <w:szCs w:val="20"/>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Arial" w:eastAsia="Times New Roman" w:hAnsi="Arial" w:cs="Times New Roman"/>
      <w:sz w:val="24"/>
      <w:szCs w:val="20"/>
      <w:lang w:eastAsia="hr-H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hr-HR"/>
    </w:rPr>
  </w:style>
  <w:style w:type="paragraph" w:styleId="ListParagraph">
    <w:name w:val="List Paragraph"/>
    <w:basedOn w:val="Normal"/>
    <w:pPr>
      <w:spacing w:after="160" w:line="256" w:lineRule="auto"/>
      <w:ind w:left="720"/>
      <w:jc w:val="left"/>
    </w:pPr>
    <w:rPr>
      <w:rFonts w:ascii="Calibri" w:eastAsia="Calibri" w:hAnsi="Calibri"/>
      <w:sz w:val="22"/>
      <w:szCs w:val="22"/>
      <w:lang w:eastAsia="en-US"/>
    </w:rPr>
  </w:style>
  <w:style w:type="character" w:styleId="CommentReference">
    <w:name w:val="annotation reference"/>
    <w:rPr>
      <w:sz w:val="16"/>
      <w:szCs w:val="16"/>
    </w:rPr>
  </w:style>
  <w:style w:type="paragraph" w:styleId="CommentText">
    <w:name w:val="annotation text"/>
    <w:basedOn w:val="Normal"/>
    <w:pPr>
      <w:spacing w:after="160"/>
      <w:jc w:val="left"/>
    </w:pPr>
    <w:rPr>
      <w:rFonts w:ascii="Calibri" w:eastAsia="Calibri" w:hAnsi="Calibri"/>
      <w:sz w:val="20"/>
      <w:lang w:eastAsia="en-US"/>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FootnoteText">
    <w:name w:val="footnote text"/>
    <w:basedOn w:val="Normal"/>
    <w:pPr>
      <w:jc w:val="left"/>
    </w:pPr>
    <w:rPr>
      <w:rFonts w:ascii="Calibri" w:eastAsia="Calibri" w:hAnsi="Calibri"/>
      <w:sz w:val="20"/>
      <w:lang w:eastAsia="en-US"/>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rPr>
      <w:position w:val="0"/>
      <w:vertAlign w:val="superscript"/>
    </w:rPr>
  </w:style>
  <w:style w:type="character" w:styleId="Hyperlink">
    <w:name w:val="Hyperlink"/>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jc w:val="both"/>
    </w:pPr>
    <w:rPr>
      <w:rFonts w:ascii="Arial" w:eastAsia="Times New Roman" w:hAnsi="Arial"/>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style>
  <w:style w:type="character" w:customStyle="1" w:styleId="TitleChar">
    <w:name w:val="Title Char"/>
    <w:basedOn w:val="DefaultParagraphFont"/>
    <w:rPr>
      <w:rFonts w:ascii="Arial" w:eastAsia="Times New Roman" w:hAnsi="Arial" w:cs="Times New Roman"/>
      <w:sz w:val="24"/>
      <w:szCs w:val="20"/>
      <w:lang w:eastAsia="hr-HR"/>
    </w:rPr>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pPr>
      <w:spacing w:after="268"/>
    </w:pPr>
    <w:rPr>
      <w:rFonts w:cs="Times New Roman"/>
      <w:color w:val="auto"/>
    </w:rPr>
  </w:style>
  <w:style w:type="paragraph" w:styleId="Header">
    <w:name w:val="header"/>
    <w:basedOn w:val="Normal"/>
    <w:pPr>
      <w:widowControl w:val="0"/>
      <w:tabs>
        <w:tab w:val="center" w:pos="4536"/>
        <w:tab w:val="right" w:pos="9072"/>
      </w:tabs>
      <w:autoSpaceDE w:val="0"/>
      <w:jc w:val="left"/>
    </w:pPr>
    <w:rPr>
      <w:rFonts w:ascii="Times New Roman" w:hAnsi="Times New Roman"/>
      <w:sz w:val="20"/>
    </w:rPr>
  </w:style>
  <w:style w:type="character" w:customStyle="1" w:styleId="HeaderChar">
    <w:name w:val="Header Char"/>
    <w:basedOn w:val="DefaultParagraphFont"/>
    <w:rPr>
      <w:rFonts w:ascii="Times New Roman" w:eastAsia="Times New Roman" w:hAnsi="Times New Roman" w:cs="Times New Roman"/>
      <w:sz w:val="20"/>
      <w:szCs w:val="20"/>
      <w:lang w:eastAsia="hr-HR"/>
    </w:rPr>
  </w:style>
  <w:style w:type="character" w:customStyle="1" w:styleId="summarymark1">
    <w:name w:val="summarymark1"/>
    <w:rPr>
      <w:b/>
      <w:bCs/>
      <w:color w:val="FF0000"/>
    </w:rPr>
  </w:style>
  <w:style w:type="paragraph" w:styleId="BodyText">
    <w:name w:val="Body Text"/>
    <w:basedOn w:val="Normal"/>
    <w:rPr>
      <w:rFonts w:ascii="Tahoma" w:hAnsi="Tahoma"/>
      <w:lang w:eastAsia="en-US"/>
    </w:rPr>
  </w:style>
  <w:style w:type="character" w:customStyle="1" w:styleId="BodyTextChar">
    <w:name w:val="Body Text Char"/>
    <w:basedOn w:val="DefaultParagraphFont"/>
    <w:rPr>
      <w:rFonts w:ascii="Tahoma" w:eastAsia="Times New Roman" w:hAnsi="Tahoma" w:cs="Times New Roman"/>
      <w:sz w:val="24"/>
      <w:szCs w:val="20"/>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Arial" w:eastAsia="Times New Roman" w:hAnsi="Arial" w:cs="Times New Roman"/>
      <w:sz w:val="24"/>
      <w:szCs w:val="20"/>
      <w:lang w:eastAsia="hr-H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hr-HR"/>
    </w:rPr>
  </w:style>
  <w:style w:type="paragraph" w:styleId="ListParagraph">
    <w:name w:val="List Paragraph"/>
    <w:basedOn w:val="Normal"/>
    <w:pPr>
      <w:spacing w:after="160" w:line="256" w:lineRule="auto"/>
      <w:ind w:left="720"/>
      <w:jc w:val="left"/>
    </w:pPr>
    <w:rPr>
      <w:rFonts w:ascii="Calibri" w:eastAsia="Calibri" w:hAnsi="Calibri"/>
      <w:sz w:val="22"/>
      <w:szCs w:val="22"/>
      <w:lang w:eastAsia="en-US"/>
    </w:rPr>
  </w:style>
  <w:style w:type="character" w:styleId="CommentReference">
    <w:name w:val="annotation reference"/>
    <w:rPr>
      <w:sz w:val="16"/>
      <w:szCs w:val="16"/>
    </w:rPr>
  </w:style>
  <w:style w:type="paragraph" w:styleId="CommentText">
    <w:name w:val="annotation text"/>
    <w:basedOn w:val="Normal"/>
    <w:pPr>
      <w:spacing w:after="160"/>
      <w:jc w:val="left"/>
    </w:pPr>
    <w:rPr>
      <w:rFonts w:ascii="Calibri" w:eastAsia="Calibri" w:hAnsi="Calibri"/>
      <w:sz w:val="20"/>
      <w:lang w:eastAsia="en-US"/>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FootnoteText">
    <w:name w:val="footnote text"/>
    <w:basedOn w:val="Normal"/>
    <w:pPr>
      <w:jc w:val="left"/>
    </w:pPr>
    <w:rPr>
      <w:rFonts w:ascii="Calibri" w:eastAsia="Calibri" w:hAnsi="Calibri"/>
      <w:sz w:val="20"/>
      <w:lang w:eastAsia="en-US"/>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rPr>
      <w:position w:val="0"/>
      <w:vertAlign w:val="superscript"/>
    </w:rPr>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tlas-romskihnaselja.hr/o-atlas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6735</Words>
  <Characters>38393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Mihelec</dc:creator>
  <cp:lastModifiedBy>Martina Požarić</cp:lastModifiedBy>
  <cp:revision>2</cp:revision>
  <cp:lastPrinted>2018-03-26T09:27:00Z</cp:lastPrinted>
  <dcterms:created xsi:type="dcterms:W3CDTF">2018-03-26T09:27:00Z</dcterms:created>
  <dcterms:modified xsi:type="dcterms:W3CDTF">2018-03-26T09:27:00Z</dcterms:modified>
</cp:coreProperties>
</file>